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42C65" w14:textId="6D8BE493" w:rsidR="00E90E49" w:rsidRPr="004F1D5A" w:rsidRDefault="00E90E49" w:rsidP="00E35559">
      <w:pPr>
        <w:pStyle w:val="3GPPHeader"/>
        <w:spacing w:after="60"/>
        <w:rPr>
          <w:sz w:val="32"/>
          <w:szCs w:val="32"/>
        </w:rPr>
      </w:pPr>
      <w:r w:rsidRPr="004F1D5A">
        <w:t>3GPP TSG-RAN WG</w:t>
      </w:r>
      <w:r w:rsidR="007730BD" w:rsidRPr="004F1D5A">
        <w:t>2</w:t>
      </w:r>
      <w:r w:rsidRPr="004F1D5A">
        <w:t xml:space="preserve"> #</w:t>
      </w:r>
      <w:r w:rsidR="00AE3743" w:rsidRPr="004F1D5A">
        <w:t>9</w:t>
      </w:r>
      <w:r w:rsidR="00C544E1" w:rsidRPr="004F1D5A">
        <w:t>8</w:t>
      </w:r>
      <w:r w:rsidRPr="004F1D5A">
        <w:tab/>
      </w:r>
      <w:r w:rsidRPr="004F1D5A">
        <w:rPr>
          <w:sz w:val="32"/>
          <w:szCs w:val="32"/>
        </w:rPr>
        <w:t xml:space="preserve">Tdoc </w:t>
      </w:r>
      <w:r w:rsidR="00091557" w:rsidRPr="004F1D5A">
        <w:rPr>
          <w:sz w:val="32"/>
          <w:szCs w:val="32"/>
        </w:rPr>
        <w:t>R2-</w:t>
      </w:r>
      <w:r w:rsidR="005F3025" w:rsidRPr="004F1D5A">
        <w:rPr>
          <w:sz w:val="32"/>
          <w:szCs w:val="32"/>
        </w:rPr>
        <w:t>1</w:t>
      </w:r>
      <w:r w:rsidR="000039F4" w:rsidRPr="004F1D5A">
        <w:rPr>
          <w:sz w:val="32"/>
          <w:szCs w:val="32"/>
        </w:rPr>
        <w:t>7</w:t>
      </w:r>
      <w:r w:rsidR="004F1D5A" w:rsidRPr="004F1D5A">
        <w:rPr>
          <w:sz w:val="32"/>
          <w:szCs w:val="32"/>
        </w:rPr>
        <w:t>04427</w:t>
      </w:r>
    </w:p>
    <w:p w14:paraId="7FD7ECFD" w14:textId="77777777" w:rsidR="00E90E49" w:rsidRPr="00CE0424" w:rsidRDefault="00C544E1" w:rsidP="00311702">
      <w:pPr>
        <w:pStyle w:val="3GPPHeader"/>
      </w:pPr>
      <w:r>
        <w:t>Hangzou</w:t>
      </w:r>
      <w:r w:rsidR="00AE3743">
        <w:t xml:space="preserve">, </w:t>
      </w:r>
      <w:r>
        <w:t>P.R. of China</w:t>
      </w:r>
      <w:r w:rsidR="00AE3743">
        <w:t xml:space="preserve">, </w:t>
      </w:r>
      <w:r>
        <w:t>15</w:t>
      </w:r>
      <w:r w:rsidRPr="00C544E1">
        <w:rPr>
          <w:vertAlign w:val="superscript"/>
        </w:rPr>
        <w:t>th</w:t>
      </w:r>
      <w:r>
        <w:t xml:space="preserve"> </w:t>
      </w:r>
      <w:r w:rsidR="00AE3743">
        <w:t xml:space="preserve">– </w:t>
      </w:r>
      <w:r>
        <w:t>19</w:t>
      </w:r>
      <w:r w:rsidR="00AE3743" w:rsidRPr="00AE3743">
        <w:rPr>
          <w:vertAlign w:val="superscript"/>
        </w:rPr>
        <w:t>th</w:t>
      </w:r>
      <w:r w:rsidR="00AE3743">
        <w:t xml:space="preserve"> </w:t>
      </w:r>
      <w:r>
        <w:t xml:space="preserve">May </w:t>
      </w:r>
      <w:r w:rsidR="00AE3743">
        <w:t>2017</w:t>
      </w:r>
    </w:p>
    <w:p w14:paraId="19AB9EFF" w14:textId="77777777" w:rsidR="00E90E49" w:rsidRPr="00CE0424" w:rsidRDefault="00E90E49" w:rsidP="00357380">
      <w:pPr>
        <w:pStyle w:val="3GPPHeader"/>
      </w:pPr>
    </w:p>
    <w:p w14:paraId="67FF647E" w14:textId="3E9C064B" w:rsidR="00E90E49" w:rsidRPr="00425350" w:rsidRDefault="00E90E49" w:rsidP="00311702">
      <w:pPr>
        <w:pStyle w:val="3GPPHeader"/>
        <w:rPr>
          <w:sz w:val="22"/>
          <w:szCs w:val="22"/>
          <w:lang w:val="en-US"/>
        </w:rPr>
      </w:pPr>
      <w:r w:rsidRPr="00425350">
        <w:rPr>
          <w:sz w:val="22"/>
          <w:szCs w:val="22"/>
          <w:lang w:val="en-US"/>
        </w:rPr>
        <w:t>Agenda Item:</w:t>
      </w:r>
      <w:r w:rsidRPr="00425350">
        <w:rPr>
          <w:sz w:val="22"/>
          <w:szCs w:val="22"/>
          <w:lang w:val="en-US"/>
        </w:rPr>
        <w:tab/>
      </w:r>
      <w:r w:rsidR="00EE1BD2" w:rsidRPr="00425350">
        <w:rPr>
          <w:sz w:val="22"/>
          <w:szCs w:val="22"/>
          <w:lang w:val="en-US"/>
        </w:rPr>
        <w:t>10.2.5</w:t>
      </w:r>
    </w:p>
    <w:p w14:paraId="4BBF170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E35EE6" w14:textId="583C7BA2" w:rsidR="00E90E49" w:rsidRPr="00CE0424" w:rsidRDefault="003D3C45" w:rsidP="00311702">
      <w:pPr>
        <w:pStyle w:val="3GPPHeader"/>
        <w:rPr>
          <w:sz w:val="22"/>
          <w:szCs w:val="22"/>
        </w:rPr>
      </w:pPr>
      <w:r>
        <w:rPr>
          <w:sz w:val="22"/>
          <w:szCs w:val="22"/>
        </w:rPr>
        <w:t>Title:</w:t>
      </w:r>
      <w:r w:rsidR="00E90E49" w:rsidRPr="00CE0424">
        <w:rPr>
          <w:sz w:val="22"/>
          <w:szCs w:val="22"/>
        </w:rPr>
        <w:tab/>
      </w:r>
      <w:r w:rsidR="00B93A07">
        <w:rPr>
          <w:sz w:val="22"/>
          <w:szCs w:val="22"/>
        </w:rPr>
        <w:t>Transmission of</w:t>
      </w:r>
      <w:r w:rsidR="00B52B6F">
        <w:rPr>
          <w:sz w:val="22"/>
          <w:szCs w:val="22"/>
        </w:rPr>
        <w:t xml:space="preserve"> NR RRC</w:t>
      </w:r>
      <w:r w:rsidR="00B93A07">
        <w:rPr>
          <w:sz w:val="22"/>
          <w:szCs w:val="22"/>
        </w:rPr>
        <w:t xml:space="preserve"> measurement configuration and reports in EN-DC</w:t>
      </w:r>
    </w:p>
    <w:p w14:paraId="39BCAB5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E1BD2">
        <w:rPr>
          <w:sz w:val="22"/>
          <w:szCs w:val="22"/>
        </w:rPr>
        <w:t>Discussion, Decision</w:t>
      </w:r>
    </w:p>
    <w:p w14:paraId="160535BE" w14:textId="77777777" w:rsidR="00E90E49" w:rsidRPr="00CE0424" w:rsidRDefault="00E90E49" w:rsidP="00E90E49"/>
    <w:p w14:paraId="60EB8267" w14:textId="499241F5" w:rsidR="00C24345" w:rsidRDefault="00E90E49" w:rsidP="00A2052C">
      <w:pPr>
        <w:pStyle w:val="Heading1"/>
      </w:pPr>
      <w:r w:rsidRPr="00CE0424">
        <w:t>Introduction</w:t>
      </w:r>
    </w:p>
    <w:p w14:paraId="3980A9F0" w14:textId="6FB850DA" w:rsidR="00B52B6F" w:rsidRDefault="00BD5297" w:rsidP="0076680F">
      <w:pPr>
        <w:rPr>
          <w:rFonts w:ascii="Calibri" w:hAnsi="Calibri"/>
          <w:lang w:eastAsia="fi-FI"/>
        </w:rPr>
      </w:pPr>
      <w:r>
        <w:rPr>
          <w:rFonts w:ascii="Calibri" w:hAnsi="Calibri"/>
          <w:lang w:eastAsia="fi-FI"/>
        </w:rPr>
        <w:t xml:space="preserve">In </w:t>
      </w:r>
      <w:r w:rsidR="00B52B6F">
        <w:rPr>
          <w:rFonts w:ascii="Calibri" w:hAnsi="Calibri"/>
          <w:lang w:eastAsia="fi-FI"/>
        </w:rPr>
        <w:t>RAN2#97bis</w:t>
      </w:r>
      <w:r>
        <w:rPr>
          <w:rFonts w:ascii="Calibri" w:hAnsi="Calibri"/>
          <w:lang w:eastAsia="fi-FI"/>
        </w:rPr>
        <w:t xml:space="preserve">, it was agreed that NR RRC measurement reports were to be mapped to the same SRB as the message initiating the procedure, i.e. in case of measurement reports, the measurement configuration. </w:t>
      </w:r>
      <w:r w:rsidR="00B52B6F">
        <w:rPr>
          <w:rFonts w:ascii="Calibri" w:hAnsi="Calibri"/>
          <w:lang w:eastAsia="fi-FI"/>
        </w:rPr>
        <w:t xml:space="preserve">However, since coordination between MN and SN is needed to ensure measurement capabilities of the UE are not exceeded by LTE and NR measurement configuration together, both measurement configurations should be transmitted together via MCG SRB. According to the RAN2#97bis agreement, this would then mean that the NR RRC measurement reports should also be sent via MCG SRB, though the ambition has been that NR RRC measurement reports should be possible to send directly to the SN via the SCG SRB. </w:t>
      </w:r>
    </w:p>
    <w:p w14:paraId="198277FC" w14:textId="38C8DF79" w:rsidR="00DE472B" w:rsidRDefault="00BD5297" w:rsidP="0076680F">
      <w:pPr>
        <w:rPr>
          <w:rFonts w:ascii="Calibri" w:hAnsi="Calibri"/>
          <w:lang w:eastAsia="fi-FI"/>
        </w:rPr>
      </w:pPr>
      <w:r>
        <w:rPr>
          <w:rFonts w:ascii="Calibri" w:hAnsi="Calibri"/>
          <w:lang w:eastAsia="fi-FI"/>
        </w:rPr>
        <w:t xml:space="preserve">In this contribution, we </w:t>
      </w:r>
      <w:r w:rsidR="00B52B6F">
        <w:rPr>
          <w:rFonts w:ascii="Calibri" w:hAnsi="Calibri"/>
          <w:lang w:eastAsia="fi-FI"/>
        </w:rPr>
        <w:t xml:space="preserve">thus propose to revisit the agreement made in RAN2#97bis regarding the mapping of NR RRC measurement reports to SRBs. This addresses also the </w:t>
      </w:r>
      <w:r>
        <w:rPr>
          <w:rFonts w:ascii="Calibri" w:hAnsi="Calibri"/>
          <w:lang w:eastAsia="fi-FI"/>
        </w:rPr>
        <w:t>remaining FFS whether explicit configuration is also supported for measurement reports.</w:t>
      </w:r>
    </w:p>
    <w:p w14:paraId="7773B7B7" w14:textId="3A6F29FD" w:rsidR="00FC00AE" w:rsidRPr="00FC00AE" w:rsidRDefault="004000E8" w:rsidP="0076680F">
      <w:pPr>
        <w:pStyle w:val="Heading1"/>
      </w:pPr>
      <w:bookmarkStart w:id="0" w:name="_Ref178064866"/>
      <w:r w:rsidRPr="00CE0424">
        <w:t>Discussion</w:t>
      </w:r>
      <w:bookmarkEnd w:id="0"/>
      <w:r w:rsidR="00D62831">
        <w:t xml:space="preserve"> </w:t>
      </w:r>
    </w:p>
    <w:p w14:paraId="5C455A3D" w14:textId="303076E0" w:rsidR="00DC4EEC" w:rsidRDefault="00AC5C66" w:rsidP="00FC00AE">
      <w:pPr>
        <w:rPr>
          <w:lang w:val="en-US"/>
        </w:rPr>
      </w:pPr>
      <w:r>
        <w:rPr>
          <w:lang w:val="en-US"/>
        </w:rPr>
        <w:t xml:space="preserve">In RAN2#97, </w:t>
      </w:r>
      <w:r w:rsidR="00DC4EEC">
        <w:rPr>
          <w:lang w:val="en-US"/>
        </w:rPr>
        <w:t>the following agreements were made:</w:t>
      </w:r>
    </w:p>
    <w:p w14:paraId="3C42169B" w14:textId="77777777" w:rsidR="00DC4EEC" w:rsidRDefault="00DC4EEC" w:rsidP="00DC4EEC">
      <w:pPr>
        <w:pStyle w:val="Doc-text2"/>
        <w:pBdr>
          <w:top w:val="single" w:sz="4" w:space="1" w:color="auto"/>
          <w:left w:val="single" w:sz="4" w:space="4" w:color="auto"/>
          <w:bottom w:val="single" w:sz="4" w:space="1" w:color="auto"/>
          <w:right w:val="single" w:sz="4" w:space="4" w:color="auto"/>
        </w:pBdr>
      </w:pPr>
      <w:r>
        <w:t>Agreements</w:t>
      </w:r>
    </w:p>
    <w:p w14:paraId="4E6A06FC" w14:textId="77777777" w:rsidR="00DC4EEC" w:rsidRDefault="00DC4EEC" w:rsidP="00DC4EEC">
      <w:pPr>
        <w:pStyle w:val="Doc-text2"/>
        <w:pBdr>
          <w:top w:val="single" w:sz="4" w:space="1" w:color="auto"/>
          <w:left w:val="single" w:sz="4" w:space="4" w:color="auto"/>
          <w:bottom w:val="single" w:sz="4" w:space="1" w:color="auto"/>
          <w:right w:val="single" w:sz="4" w:space="4" w:color="auto"/>
        </w:pBdr>
      </w:pPr>
      <w:r>
        <w:t>1:</w:t>
      </w:r>
      <w:r>
        <w:tab/>
        <w:t>For the SN/MN RRC reconfiguration requiring also MN/SN RRC reconfiguration, a MN RRC message is delivered with an embedded SN RRC message.</w:t>
      </w:r>
    </w:p>
    <w:p w14:paraId="549AC0BF" w14:textId="77777777" w:rsidR="00DC4EEC" w:rsidRDefault="00DC4EEC" w:rsidP="00DC4EEC">
      <w:pPr>
        <w:pStyle w:val="Doc-text2"/>
        <w:pBdr>
          <w:top w:val="single" w:sz="4" w:space="1" w:color="auto"/>
          <w:left w:val="single" w:sz="4" w:space="4" w:color="auto"/>
          <w:bottom w:val="single" w:sz="4" w:space="1" w:color="auto"/>
          <w:right w:val="single" w:sz="4" w:space="4" w:color="auto"/>
        </w:pBdr>
      </w:pPr>
    </w:p>
    <w:p w14:paraId="4FE13900" w14:textId="77777777" w:rsidR="00DC4EEC" w:rsidRDefault="00DC4EEC" w:rsidP="00DC4EEC">
      <w:pPr>
        <w:pStyle w:val="Doc-text2"/>
        <w:pBdr>
          <w:top w:val="single" w:sz="4" w:space="1" w:color="auto"/>
          <w:left w:val="single" w:sz="4" w:space="4" w:color="auto"/>
          <w:bottom w:val="single" w:sz="4" w:space="1" w:color="auto"/>
          <w:right w:val="single" w:sz="4" w:space="4" w:color="auto"/>
        </w:pBdr>
      </w:pPr>
      <w:r>
        <w:t>2</w:t>
      </w:r>
      <w:r>
        <w:tab/>
        <w:t>UE can be configured with an SCG SRB to allow SN RRC messages to be sent directly between UE and SN.</w:t>
      </w:r>
    </w:p>
    <w:p w14:paraId="0E549822" w14:textId="77777777" w:rsidR="00DC4EEC" w:rsidRDefault="00DC4EEC" w:rsidP="00DC4EEC">
      <w:pPr>
        <w:pStyle w:val="Doc-text2"/>
        <w:pBdr>
          <w:top w:val="single" w:sz="4" w:space="1" w:color="auto"/>
          <w:left w:val="single" w:sz="4" w:space="4" w:color="auto"/>
          <w:bottom w:val="single" w:sz="4" w:space="1" w:color="auto"/>
          <w:right w:val="single" w:sz="4" w:space="4" w:color="auto"/>
        </w:pBdr>
      </w:pPr>
    </w:p>
    <w:p w14:paraId="5E5D0FBD" w14:textId="77777777" w:rsidR="00DC4EEC" w:rsidRDefault="00DC4EEC" w:rsidP="00DC4EEC">
      <w:pPr>
        <w:pStyle w:val="Doc-text2"/>
        <w:pBdr>
          <w:top w:val="single" w:sz="4" w:space="1" w:color="auto"/>
          <w:left w:val="single" w:sz="4" w:space="4" w:color="auto"/>
          <w:bottom w:val="single" w:sz="4" w:space="1" w:color="auto"/>
          <w:right w:val="single" w:sz="4" w:space="4" w:color="auto"/>
        </w:pBdr>
      </w:pPr>
      <w:r>
        <w:t>3:</w:t>
      </w:r>
      <w:r>
        <w:tab/>
        <w:t>For SN RRC reconfigurations not requiring any coordination with MN then SN RRC messages can be transported directly to the UE (or eNB implementation can be deliver it embedded within a MN RRC message)</w:t>
      </w:r>
    </w:p>
    <w:p w14:paraId="3331B920" w14:textId="77777777" w:rsidR="00DC4EEC" w:rsidRDefault="00DC4EEC" w:rsidP="00DC4EEC">
      <w:pPr>
        <w:pStyle w:val="Doc-text2"/>
        <w:pBdr>
          <w:top w:val="single" w:sz="4" w:space="1" w:color="auto"/>
          <w:left w:val="single" w:sz="4" w:space="4" w:color="auto"/>
          <w:bottom w:val="single" w:sz="4" w:space="1" w:color="auto"/>
          <w:right w:val="single" w:sz="4" w:space="4" w:color="auto"/>
        </w:pBdr>
      </w:pPr>
    </w:p>
    <w:p w14:paraId="1597D6F2" w14:textId="77777777" w:rsidR="00DC4EEC" w:rsidRDefault="00DC4EEC" w:rsidP="00DC4EEC">
      <w:pPr>
        <w:pStyle w:val="Doc-text2"/>
        <w:pBdr>
          <w:top w:val="single" w:sz="4" w:space="1" w:color="auto"/>
          <w:left w:val="single" w:sz="4" w:space="4" w:color="auto"/>
          <w:bottom w:val="single" w:sz="4" w:space="1" w:color="auto"/>
          <w:right w:val="single" w:sz="4" w:space="4" w:color="auto"/>
        </w:pBdr>
      </w:pPr>
      <w:r>
        <w:t>4</w:t>
      </w:r>
      <w:r>
        <w:tab/>
        <w:t xml:space="preserve">Measurement reporting for mobility within the SN can be transported in SN RRC messages </w:t>
      </w:r>
      <w:r w:rsidRPr="009715B0">
        <w:t xml:space="preserve">directly </w:t>
      </w:r>
      <w:r>
        <w:t>from UE to SN, if SCG SRB is configured. Detail rules for UE to select transmission path for UL message to be defined in WI.</w:t>
      </w:r>
    </w:p>
    <w:p w14:paraId="7D1DBEFA" w14:textId="77777777" w:rsidR="00DC4EEC" w:rsidRDefault="00DC4EEC" w:rsidP="00DC4EEC">
      <w:pPr>
        <w:pStyle w:val="Doc-text2"/>
        <w:pBdr>
          <w:top w:val="single" w:sz="4" w:space="1" w:color="auto"/>
          <w:left w:val="single" w:sz="4" w:space="4" w:color="auto"/>
          <w:bottom w:val="single" w:sz="4" w:space="1" w:color="auto"/>
          <w:right w:val="single" w:sz="4" w:space="4" w:color="auto"/>
        </w:pBdr>
      </w:pPr>
    </w:p>
    <w:p w14:paraId="79347E71" w14:textId="77777777" w:rsidR="00DC4EEC" w:rsidRDefault="00DC4EEC" w:rsidP="00DC4EEC">
      <w:pPr>
        <w:pStyle w:val="Doc-text2"/>
        <w:pBdr>
          <w:top w:val="single" w:sz="4" w:space="1" w:color="auto"/>
          <w:left w:val="single" w:sz="4" w:space="4" w:color="auto"/>
          <w:bottom w:val="single" w:sz="4" w:space="1" w:color="auto"/>
          <w:right w:val="single" w:sz="4" w:space="4" w:color="auto"/>
        </w:pBdr>
      </w:pPr>
      <w:r>
        <w:t>5</w:t>
      </w:r>
      <w:r>
        <w:tab/>
        <w:t>These agreement do not imply that the UE has to do any reordering of RRC messages.</w:t>
      </w:r>
    </w:p>
    <w:p w14:paraId="6F18D225" w14:textId="77777777" w:rsidR="00DC4EEC" w:rsidRPr="00DC4EEC" w:rsidRDefault="00DC4EEC" w:rsidP="00FC00AE"/>
    <w:p w14:paraId="7EE779B0" w14:textId="77777777" w:rsidR="007A3D70" w:rsidRDefault="00DC4EEC" w:rsidP="00FC00AE">
      <w:pPr>
        <w:rPr>
          <w:lang w:val="en-US"/>
        </w:rPr>
      </w:pPr>
      <w:r>
        <w:t>In these agreements, i</w:t>
      </w:r>
      <w:r w:rsidR="00AC5C66">
        <w:rPr>
          <w:lang w:val="en-US"/>
        </w:rPr>
        <w:t xml:space="preserve">t was agreed to add the SCG SRB, to enable direct signaling between the SN and the UE in certain cases. The purpose was to allow </w:t>
      </w:r>
      <w:r>
        <w:rPr>
          <w:lang w:val="en-US"/>
        </w:rPr>
        <w:t>fast</w:t>
      </w:r>
      <w:r w:rsidR="00AC5C66">
        <w:rPr>
          <w:lang w:val="en-US"/>
        </w:rPr>
        <w:t xml:space="preserve"> signaling between SN and UE for procedures not requiring coordination between MN and SN (agreement 3). </w:t>
      </w:r>
    </w:p>
    <w:p w14:paraId="4EC7D98A" w14:textId="4733731E" w:rsidR="007A3D70" w:rsidRDefault="007A3D70" w:rsidP="007A3D70">
      <w:pPr>
        <w:pStyle w:val="Observation"/>
        <w:rPr>
          <w:lang w:val="en-US"/>
        </w:rPr>
      </w:pPr>
      <w:bookmarkStart w:id="1" w:name="_Toc481437984"/>
      <w:bookmarkStart w:id="2" w:name="_Toc481438969"/>
      <w:bookmarkStart w:id="3" w:name="_Toc481738577"/>
      <w:bookmarkStart w:id="4" w:name="_Toc481795857"/>
      <w:r>
        <w:rPr>
          <w:lang w:val="en-US"/>
        </w:rPr>
        <w:t>SCG SRB can only be used for procedures where coordination between MN and SN is not needed.</w:t>
      </w:r>
      <w:bookmarkEnd w:id="1"/>
      <w:bookmarkEnd w:id="2"/>
      <w:bookmarkEnd w:id="3"/>
      <w:bookmarkEnd w:id="4"/>
    </w:p>
    <w:p w14:paraId="08489A2E" w14:textId="374AE1DE" w:rsidR="00AC5C66" w:rsidRDefault="00AC5C66" w:rsidP="00FC00AE">
      <w:pPr>
        <w:rPr>
          <w:lang w:val="en-US"/>
        </w:rPr>
      </w:pPr>
      <w:r>
        <w:rPr>
          <w:lang w:val="en-US"/>
        </w:rPr>
        <w:lastRenderedPageBreak/>
        <w:t>UE measurement reports were mentioned as one example (agreement 4).</w:t>
      </w:r>
    </w:p>
    <w:p w14:paraId="40BD9BFE" w14:textId="0C4F3BC1" w:rsidR="00AC5C66" w:rsidRDefault="00DC4EEC" w:rsidP="00DC4EEC">
      <w:pPr>
        <w:pStyle w:val="Observation"/>
        <w:rPr>
          <w:lang w:val="en-US"/>
        </w:rPr>
      </w:pPr>
      <w:bookmarkStart w:id="5" w:name="_Toc481437985"/>
      <w:bookmarkStart w:id="6" w:name="_Toc481438970"/>
      <w:bookmarkStart w:id="7" w:name="_Toc481738578"/>
      <w:bookmarkStart w:id="8" w:name="_Toc481795858"/>
      <w:r>
        <w:rPr>
          <w:lang w:val="en-US"/>
        </w:rPr>
        <w:t>SCG SRB was introduced to allow direct signaling between SN and UE, e.g. for NR measurement reports in EN-DC</w:t>
      </w:r>
      <w:r w:rsidR="007A3D70">
        <w:rPr>
          <w:lang w:val="en-US"/>
        </w:rPr>
        <w:t>.</w:t>
      </w:r>
      <w:bookmarkEnd w:id="5"/>
      <w:bookmarkEnd w:id="6"/>
      <w:bookmarkEnd w:id="7"/>
      <w:bookmarkEnd w:id="8"/>
    </w:p>
    <w:p w14:paraId="321264D3" w14:textId="5B370733" w:rsidR="00DC4EEC" w:rsidRDefault="00AC5C66" w:rsidP="00DC4EEC">
      <w:pPr>
        <w:rPr>
          <w:lang w:val="en-US"/>
        </w:rPr>
      </w:pPr>
      <w:r>
        <w:rPr>
          <w:lang w:val="en-US"/>
        </w:rPr>
        <w:t xml:space="preserve">Then in RAN2#97bis, some further agreements were made regarding the </w:t>
      </w:r>
      <w:r w:rsidR="007A3D70">
        <w:rPr>
          <w:lang w:val="en-US"/>
        </w:rPr>
        <w:t>use of SCG SRB</w:t>
      </w:r>
      <w:r w:rsidR="00DC4EEC">
        <w:rPr>
          <w:lang w:val="en-US"/>
        </w:rPr>
        <w:t>:</w:t>
      </w:r>
    </w:p>
    <w:p w14:paraId="499B23D5" w14:textId="77777777" w:rsidR="007A3D70" w:rsidRDefault="007A3D70" w:rsidP="007A3D70">
      <w:pPr>
        <w:pStyle w:val="Doc-text2"/>
        <w:pBdr>
          <w:top w:val="single" w:sz="4" w:space="1" w:color="auto"/>
          <w:left w:val="single" w:sz="4" w:space="4" w:color="auto"/>
          <w:bottom w:val="single" w:sz="4" w:space="1" w:color="auto"/>
          <w:right w:val="single" w:sz="4" w:space="4" w:color="auto"/>
        </w:pBdr>
      </w:pPr>
      <w:r>
        <w:t>Agreements:</w:t>
      </w:r>
    </w:p>
    <w:p w14:paraId="5FBA8E33" w14:textId="77777777" w:rsidR="007A3D70" w:rsidRDefault="007A3D70" w:rsidP="007A3D70">
      <w:pPr>
        <w:pStyle w:val="Doc-text2"/>
        <w:pBdr>
          <w:top w:val="single" w:sz="4" w:space="1" w:color="auto"/>
          <w:left w:val="single" w:sz="4" w:space="4" w:color="auto"/>
          <w:bottom w:val="single" w:sz="4" w:space="1" w:color="auto"/>
          <w:right w:val="single" w:sz="4" w:space="4" w:color="auto"/>
        </w:pBdr>
      </w:pPr>
      <w:r>
        <w:t>1</w:t>
      </w:r>
      <w:r>
        <w:tab/>
        <w:t>SCG SRB can be configured based on network decision.</w:t>
      </w:r>
    </w:p>
    <w:p w14:paraId="12EE22FB" w14:textId="77777777" w:rsidR="007A3D70" w:rsidRDefault="007A3D70" w:rsidP="007A3D70">
      <w:pPr>
        <w:pStyle w:val="Doc-text2"/>
        <w:pBdr>
          <w:top w:val="single" w:sz="4" w:space="1" w:color="auto"/>
          <w:left w:val="single" w:sz="4" w:space="4" w:color="auto"/>
          <w:bottom w:val="single" w:sz="4" w:space="1" w:color="auto"/>
          <w:right w:val="single" w:sz="4" w:space="4" w:color="auto"/>
        </w:pBdr>
      </w:pPr>
      <w:r>
        <w:t>2</w:t>
      </w:r>
      <w:r>
        <w:tab/>
        <w:t>Addition of SCG SRB is decided by SN.</w:t>
      </w:r>
    </w:p>
    <w:p w14:paraId="54C0B29A" w14:textId="77777777" w:rsidR="007A3D70" w:rsidRDefault="007A3D70" w:rsidP="007A3D70">
      <w:pPr>
        <w:pStyle w:val="Doc-text2"/>
        <w:pBdr>
          <w:top w:val="single" w:sz="4" w:space="1" w:color="auto"/>
          <w:left w:val="single" w:sz="4" w:space="4" w:color="auto"/>
          <w:bottom w:val="single" w:sz="4" w:space="1" w:color="auto"/>
          <w:right w:val="single" w:sz="4" w:space="4" w:color="auto"/>
        </w:pBdr>
      </w:pPr>
      <w:r>
        <w:t>FFS Whether the MN can request establishment of SCG SRB</w:t>
      </w:r>
    </w:p>
    <w:p w14:paraId="7F90995B" w14:textId="77777777" w:rsidR="007A3D70" w:rsidRDefault="007A3D70" w:rsidP="007A3D70">
      <w:pPr>
        <w:pStyle w:val="Doc-text2"/>
        <w:pBdr>
          <w:top w:val="single" w:sz="4" w:space="1" w:color="auto"/>
          <w:left w:val="single" w:sz="4" w:space="4" w:color="auto"/>
          <w:bottom w:val="single" w:sz="4" w:space="1" w:color="auto"/>
          <w:right w:val="single" w:sz="4" w:space="4" w:color="auto"/>
        </w:pBdr>
      </w:pPr>
      <w:r>
        <w:t>3</w:t>
      </w:r>
      <w:r>
        <w:tab/>
        <w:t>SCG SRB configuration is provided by NR RRC from SN.</w:t>
      </w:r>
    </w:p>
    <w:p w14:paraId="695828F9" w14:textId="77777777" w:rsidR="007A3D70" w:rsidRDefault="007A3D70" w:rsidP="007A3D70">
      <w:pPr>
        <w:pStyle w:val="Doc-text2"/>
        <w:pBdr>
          <w:top w:val="single" w:sz="4" w:space="1" w:color="auto"/>
          <w:left w:val="single" w:sz="4" w:space="4" w:color="auto"/>
          <w:bottom w:val="single" w:sz="4" w:space="1" w:color="auto"/>
          <w:right w:val="single" w:sz="4" w:space="4" w:color="auto"/>
        </w:pBdr>
      </w:pPr>
      <w:r>
        <w:t>4</w:t>
      </w:r>
      <w:r>
        <w:tab/>
        <w:t>NR RRC complete messages and measurement reports are mapped to the same SRB as the message initiating the procedure.</w:t>
      </w:r>
    </w:p>
    <w:p w14:paraId="7628CE77" w14:textId="77777777" w:rsidR="007A3D70" w:rsidRDefault="007A3D70" w:rsidP="007A3D70">
      <w:pPr>
        <w:pStyle w:val="Doc-text2"/>
        <w:pBdr>
          <w:top w:val="single" w:sz="4" w:space="1" w:color="auto"/>
          <w:left w:val="single" w:sz="4" w:space="4" w:color="auto"/>
          <w:bottom w:val="single" w:sz="4" w:space="1" w:color="auto"/>
          <w:right w:val="single" w:sz="4" w:space="4" w:color="auto"/>
        </w:pBdr>
      </w:pPr>
      <w:r>
        <w:t>FFS Whether there are any exceptional cases for the complete messages</w:t>
      </w:r>
    </w:p>
    <w:p w14:paraId="1685AEA8" w14:textId="77777777" w:rsidR="007A3D70" w:rsidRDefault="007A3D70" w:rsidP="007A3D70">
      <w:pPr>
        <w:pStyle w:val="Doc-text2"/>
        <w:pBdr>
          <w:top w:val="single" w:sz="4" w:space="1" w:color="auto"/>
          <w:left w:val="single" w:sz="4" w:space="4" w:color="auto"/>
          <w:bottom w:val="single" w:sz="4" w:space="1" w:color="auto"/>
          <w:right w:val="single" w:sz="4" w:space="4" w:color="auto"/>
        </w:pBdr>
      </w:pPr>
      <w:r>
        <w:t>FFS Whether explicit configuration is also supported for measurement reports.</w:t>
      </w:r>
    </w:p>
    <w:p w14:paraId="218A2D96" w14:textId="77777777" w:rsidR="007A3D70" w:rsidRDefault="007A3D70" w:rsidP="007A3D70">
      <w:pPr>
        <w:pStyle w:val="Doc-text2"/>
        <w:pBdr>
          <w:top w:val="single" w:sz="4" w:space="1" w:color="auto"/>
          <w:left w:val="single" w:sz="4" w:space="4" w:color="auto"/>
          <w:bottom w:val="single" w:sz="4" w:space="1" w:color="auto"/>
          <w:right w:val="single" w:sz="4" w:space="4" w:color="auto"/>
        </w:pBdr>
      </w:pPr>
      <w:r w:rsidRPr="0063403E">
        <w:t>5</w:t>
      </w:r>
      <w:r w:rsidRPr="0063403E">
        <w:tab/>
        <w:t>All LTE RRC messages are mapped to MCG SRB.</w:t>
      </w:r>
    </w:p>
    <w:p w14:paraId="4D03A311" w14:textId="77777777" w:rsidR="007A3D70" w:rsidRDefault="007A3D70" w:rsidP="007A3D70">
      <w:pPr>
        <w:pStyle w:val="Doc-text2"/>
        <w:pBdr>
          <w:top w:val="single" w:sz="4" w:space="1" w:color="auto"/>
          <w:left w:val="single" w:sz="4" w:space="4" w:color="auto"/>
          <w:bottom w:val="single" w:sz="4" w:space="1" w:color="auto"/>
          <w:right w:val="single" w:sz="4" w:space="4" w:color="auto"/>
        </w:pBdr>
      </w:pPr>
      <w:r>
        <w:t>6</w:t>
      </w:r>
      <w:r>
        <w:tab/>
        <w:t>EN-DC can only be configured after security activation on LTE.</w:t>
      </w:r>
    </w:p>
    <w:p w14:paraId="18AA3268" w14:textId="77777777" w:rsidR="00DC4EEC" w:rsidRDefault="00DC4EEC" w:rsidP="00DC4EEC">
      <w:pPr>
        <w:rPr>
          <w:lang w:val="en-US"/>
        </w:rPr>
      </w:pPr>
    </w:p>
    <w:p w14:paraId="1F2F9428" w14:textId="087903CB" w:rsidR="00DC4EEC" w:rsidRPr="00FC00AE" w:rsidRDefault="00DC4EEC" w:rsidP="00DC4EEC">
      <w:pPr>
        <w:rPr>
          <w:lang w:val="en-US"/>
        </w:rPr>
      </w:pPr>
      <w:r>
        <w:rPr>
          <w:lang w:val="en-US"/>
        </w:rPr>
        <w:t>It was agreed that the</w:t>
      </w:r>
      <w:r w:rsidRPr="00DC4EEC">
        <w:rPr>
          <w:lang w:val="en-US"/>
        </w:rPr>
        <w:t xml:space="preserve"> </w:t>
      </w:r>
      <w:r w:rsidRPr="00FC00AE">
        <w:rPr>
          <w:lang w:val="en-US"/>
        </w:rPr>
        <w:t>NR RRC measurement reports are mapped to the same SRB as the m</w:t>
      </w:r>
      <w:r w:rsidR="007A3D70">
        <w:rPr>
          <w:lang w:val="en-US"/>
        </w:rPr>
        <w:t xml:space="preserve">essage initiating the procedure (agreement 4). In the case of NR RRC measurement reports, it is the </w:t>
      </w:r>
      <w:r w:rsidRPr="00FC00AE">
        <w:rPr>
          <w:lang w:val="en-US"/>
        </w:rPr>
        <w:t>R</w:t>
      </w:r>
      <w:r w:rsidR="00425350">
        <w:rPr>
          <w:lang w:val="en-US"/>
        </w:rPr>
        <w:t>RC</w:t>
      </w:r>
      <w:r w:rsidRPr="00FC00AE">
        <w:rPr>
          <w:lang w:val="en-US"/>
        </w:rPr>
        <w:t>ConnectionReconfiguration message carrying the RRC measurement configuration</w:t>
      </w:r>
      <w:r w:rsidR="007A3D70">
        <w:rPr>
          <w:lang w:val="en-US"/>
        </w:rPr>
        <w:t xml:space="preserve"> that initiates the procedure</w:t>
      </w:r>
      <w:r w:rsidRPr="00FC00AE">
        <w:rPr>
          <w:lang w:val="en-US"/>
        </w:rPr>
        <w:t>.</w:t>
      </w:r>
    </w:p>
    <w:p w14:paraId="0A07066E" w14:textId="05381CD6" w:rsidR="00AC5C66" w:rsidRDefault="007A3D70" w:rsidP="007A3D70">
      <w:pPr>
        <w:pStyle w:val="Observation"/>
        <w:rPr>
          <w:lang w:val="en-US"/>
        </w:rPr>
      </w:pPr>
      <w:bookmarkStart w:id="9" w:name="_Toc481437986"/>
      <w:bookmarkStart w:id="10" w:name="_Toc481438971"/>
      <w:bookmarkStart w:id="11" w:name="_Toc481738579"/>
      <w:bookmarkStart w:id="12" w:name="_Toc481795859"/>
      <w:r>
        <w:rPr>
          <w:lang w:val="en-US"/>
        </w:rPr>
        <w:t>NR RRC measurement reports are mapped to the same SRB as the measurement configuration initiating the measurement.</w:t>
      </w:r>
      <w:bookmarkEnd w:id="9"/>
      <w:bookmarkEnd w:id="10"/>
      <w:bookmarkEnd w:id="11"/>
      <w:bookmarkEnd w:id="12"/>
    </w:p>
    <w:p w14:paraId="43878609" w14:textId="4F3D977A" w:rsidR="007A3D70" w:rsidRDefault="007A3D70" w:rsidP="00FC00AE">
      <w:pPr>
        <w:rPr>
          <w:lang w:val="en-US"/>
        </w:rPr>
      </w:pPr>
      <w:r>
        <w:rPr>
          <w:lang w:val="en-US"/>
        </w:rPr>
        <w:t>After RAN2#97bis, an email discussion [97bis#10] on MN/SN measurement coordination [DOCOMO] was held to discuss a RRM measurement framework for EN-DC operation. In the email discussion, several companies agreed that measurement coordination will be required between MN and SN to ensure UE measurement capabilities are not</w:t>
      </w:r>
      <w:r w:rsidR="00132666">
        <w:rPr>
          <w:lang w:val="en-US"/>
        </w:rPr>
        <w:t xml:space="preserve"> exceeded </w:t>
      </w:r>
      <w:r w:rsidR="00132666">
        <w:rPr>
          <w:lang w:val="en-US"/>
        </w:rPr>
        <w:fldChar w:fldCharType="begin"/>
      </w:r>
      <w:r w:rsidR="00132666">
        <w:rPr>
          <w:lang w:val="en-US"/>
        </w:rPr>
        <w:instrText xml:space="preserve"> REF _Ref481738853 \r \h </w:instrText>
      </w:r>
      <w:r w:rsidR="00132666">
        <w:rPr>
          <w:lang w:val="en-US"/>
        </w:rPr>
      </w:r>
      <w:r w:rsidR="00132666">
        <w:rPr>
          <w:lang w:val="en-US"/>
        </w:rPr>
        <w:fldChar w:fldCharType="separate"/>
      </w:r>
      <w:r w:rsidR="00132666">
        <w:rPr>
          <w:lang w:val="en-US"/>
        </w:rPr>
        <w:t>[1]</w:t>
      </w:r>
      <w:r w:rsidR="00132666">
        <w:rPr>
          <w:lang w:val="en-US"/>
        </w:rPr>
        <w:fldChar w:fldCharType="end"/>
      </w:r>
      <w:r>
        <w:rPr>
          <w:lang w:val="en-US"/>
        </w:rPr>
        <w:t xml:space="preserve">. </w:t>
      </w:r>
    </w:p>
    <w:p w14:paraId="078C566E" w14:textId="6294BC26" w:rsidR="00DC1BF3" w:rsidRDefault="00DC1BF3" w:rsidP="00DC1BF3">
      <w:pPr>
        <w:pStyle w:val="Observation"/>
        <w:rPr>
          <w:lang w:val="en-US"/>
        </w:rPr>
      </w:pPr>
      <w:bookmarkStart w:id="13" w:name="_Toc481437987"/>
      <w:bookmarkStart w:id="14" w:name="_Toc481438972"/>
      <w:bookmarkStart w:id="15" w:name="_Toc481738580"/>
      <w:bookmarkStart w:id="16" w:name="_Toc481795860"/>
      <w:r>
        <w:rPr>
          <w:lang w:val="en-US"/>
        </w:rPr>
        <w:t>MN/SN measurement coordination is needed to ensure UE measurement capabilities are not exceeded in EN-DC operation.</w:t>
      </w:r>
      <w:bookmarkEnd w:id="13"/>
      <w:bookmarkEnd w:id="14"/>
      <w:bookmarkEnd w:id="15"/>
      <w:bookmarkEnd w:id="16"/>
    </w:p>
    <w:p w14:paraId="7B14182A" w14:textId="6D43CAED" w:rsidR="00AC5C66" w:rsidRDefault="00AC5C66" w:rsidP="00FC00AE">
      <w:pPr>
        <w:rPr>
          <w:lang w:val="en-US"/>
        </w:rPr>
      </w:pPr>
    </w:p>
    <w:p w14:paraId="6EF4F06D" w14:textId="1520C4A6" w:rsidR="00794665" w:rsidRDefault="007C56F5" w:rsidP="00FC00AE">
      <w:pPr>
        <w:rPr>
          <w:lang w:val="en-US"/>
        </w:rPr>
      </w:pPr>
      <w:r>
        <w:rPr>
          <w:lang w:val="en-US"/>
        </w:rPr>
        <w:t>C</w:t>
      </w:r>
      <w:r w:rsidR="00E13FB3">
        <w:rPr>
          <w:lang w:val="en-US"/>
        </w:rPr>
        <w:t>onsidering</w:t>
      </w:r>
      <w:r>
        <w:rPr>
          <w:lang w:val="en-US"/>
        </w:rPr>
        <w:t xml:space="preserve"> all the above</w:t>
      </w:r>
      <w:r w:rsidR="00E13FB3">
        <w:rPr>
          <w:lang w:val="en-US"/>
        </w:rPr>
        <w:t xml:space="preserve"> observations, </w:t>
      </w:r>
      <w:r w:rsidR="00DC7F09">
        <w:rPr>
          <w:lang w:val="en-US"/>
        </w:rPr>
        <w:t xml:space="preserve">the following can be determined: </w:t>
      </w:r>
    </w:p>
    <w:p w14:paraId="5CCCE134" w14:textId="233743AE" w:rsidR="00E13FB3" w:rsidRDefault="00794665" w:rsidP="00794665">
      <w:pPr>
        <w:pStyle w:val="ListParagraph"/>
        <w:numPr>
          <w:ilvl w:val="0"/>
          <w:numId w:val="18"/>
        </w:numPr>
      </w:pPr>
      <w:r>
        <w:t>C</w:t>
      </w:r>
      <w:r w:rsidRPr="00794665">
        <w:t>oordination</w:t>
      </w:r>
      <w:r>
        <w:t xml:space="preserve"> between MN and SN is needed for measurement configuration (Observation 4)</w:t>
      </w:r>
    </w:p>
    <w:p w14:paraId="6B40726C" w14:textId="20EDB977" w:rsidR="00794665" w:rsidRDefault="00794665" w:rsidP="00794665">
      <w:pPr>
        <w:pStyle w:val="ListParagraph"/>
        <w:numPr>
          <w:ilvl w:val="0"/>
          <w:numId w:val="18"/>
        </w:numPr>
      </w:pPr>
      <w:r>
        <w:t>SCG SRB can only be used for procedures where coordination between MN and SN is not needed (Observation 1).</w:t>
      </w:r>
    </w:p>
    <w:p w14:paraId="22EA57AA" w14:textId="77B9772E" w:rsidR="00794665" w:rsidRDefault="00794665" w:rsidP="00794665">
      <w:pPr>
        <w:pStyle w:val="ListParagraph"/>
        <w:numPr>
          <w:ilvl w:val="0"/>
          <w:numId w:val="18"/>
        </w:numPr>
      </w:pPr>
      <w:r>
        <w:t>Thus, the SN need</w:t>
      </w:r>
      <w:r w:rsidR="00425350">
        <w:t>s</w:t>
      </w:r>
      <w:r>
        <w:t xml:space="preserve"> to send NR RRC measurement configuration via MN, </w:t>
      </w:r>
      <w:r w:rsidR="00DC7F09">
        <w:t xml:space="preserve">encapsulated in a LTE RRC message on the </w:t>
      </w:r>
      <w:r>
        <w:t>MCG SRB (agreement 1).</w:t>
      </w:r>
    </w:p>
    <w:p w14:paraId="3D33EB64" w14:textId="69DF280F" w:rsidR="00794665" w:rsidRDefault="00425350" w:rsidP="00794665">
      <w:pPr>
        <w:pStyle w:val="ListParagraph"/>
        <w:numPr>
          <w:ilvl w:val="0"/>
          <w:numId w:val="18"/>
        </w:numPr>
      </w:pPr>
      <w:r>
        <w:t>Following</w:t>
      </w:r>
      <w:r w:rsidR="00794665">
        <w:t xml:space="preserve"> </w:t>
      </w:r>
      <w:r w:rsidR="00DC7F09">
        <w:t>observation 3, NR RRC measurement should be mapped to the same SR</w:t>
      </w:r>
      <w:r>
        <w:t>B</w:t>
      </w:r>
      <w:r w:rsidR="00DC7F09">
        <w:t xml:space="preserve"> as the measurement configuration was received, in this case the MCG SRB.</w:t>
      </w:r>
    </w:p>
    <w:p w14:paraId="67E67AAD" w14:textId="0A54FA3A" w:rsidR="00DC7F09" w:rsidRPr="00794665" w:rsidRDefault="00DC7F09" w:rsidP="00794665">
      <w:pPr>
        <w:pStyle w:val="ListParagraph"/>
        <w:numPr>
          <w:ilvl w:val="0"/>
          <w:numId w:val="18"/>
        </w:numPr>
      </w:pPr>
      <w:r>
        <w:t>However, the purpose of SCG SRB was e.g. to deliver NR RRC measurement reports directly to SN</w:t>
      </w:r>
      <w:r w:rsidR="00425350">
        <w:t xml:space="preserve"> as fast as possible</w:t>
      </w:r>
      <w:r>
        <w:t>.</w:t>
      </w:r>
    </w:p>
    <w:p w14:paraId="014D67F2" w14:textId="413104B8" w:rsidR="00391125" w:rsidRDefault="00DC7F09" w:rsidP="00AC5C66">
      <w:pPr>
        <w:rPr>
          <w:lang w:val="en-US"/>
        </w:rPr>
      </w:pPr>
      <w:r>
        <w:rPr>
          <w:lang w:val="en-US"/>
        </w:rPr>
        <w:t xml:space="preserve">Thus, </w:t>
      </w:r>
      <w:r w:rsidR="00904017">
        <w:rPr>
          <w:lang w:val="en-US"/>
        </w:rPr>
        <w:t>considering all</w:t>
      </w:r>
      <w:r>
        <w:rPr>
          <w:lang w:val="en-US"/>
        </w:rPr>
        <w:t xml:space="preserve"> agreements so far, it seems not possible to map NR RRC measurement reports to SCG SRB</w:t>
      </w:r>
      <w:r w:rsidR="00904017">
        <w:rPr>
          <w:lang w:val="en-US"/>
        </w:rPr>
        <w:t>, which was one of the prime use cases for introducing the SCG SRB</w:t>
      </w:r>
      <w:r>
        <w:rPr>
          <w:lang w:val="en-US"/>
        </w:rPr>
        <w:t xml:space="preserve">. </w:t>
      </w:r>
      <w:r w:rsidR="00904017">
        <w:rPr>
          <w:lang w:val="en-US"/>
        </w:rPr>
        <w:t xml:space="preserve">Therefore, </w:t>
      </w:r>
      <w:r w:rsidR="00391125">
        <w:rPr>
          <w:lang w:val="en-US"/>
        </w:rPr>
        <w:t xml:space="preserve">we propose RAN2 to revisit </w:t>
      </w:r>
      <w:r>
        <w:rPr>
          <w:lang w:val="en-US"/>
        </w:rPr>
        <w:t>agreement 4 from RAN2#97bis</w:t>
      </w:r>
      <w:r w:rsidR="00391125">
        <w:rPr>
          <w:lang w:val="en-US"/>
        </w:rPr>
        <w:t xml:space="preserve">, so that </w:t>
      </w:r>
      <w:r w:rsidR="004621D5">
        <w:rPr>
          <w:lang w:val="en-US"/>
        </w:rPr>
        <w:t>measurement reports are excluded.</w:t>
      </w:r>
    </w:p>
    <w:p w14:paraId="4DE50FEE" w14:textId="2FE4F49A" w:rsidR="00391125" w:rsidRDefault="00391125" w:rsidP="00391125">
      <w:pPr>
        <w:pStyle w:val="Proposal"/>
        <w:rPr>
          <w:lang w:val="en-US"/>
        </w:rPr>
      </w:pPr>
      <w:bookmarkStart w:id="17" w:name="_Toc481438965"/>
      <w:bookmarkStart w:id="18" w:name="_Toc481493094"/>
      <w:bookmarkStart w:id="19" w:name="_Toc481738573"/>
      <w:bookmarkStart w:id="20" w:name="_Toc481795861"/>
      <w:r>
        <w:rPr>
          <w:lang w:val="en-US"/>
        </w:rPr>
        <w:t>RAN2 to revisit the agreement 4</w:t>
      </w:r>
      <w:r w:rsidR="004621D5">
        <w:rPr>
          <w:lang w:val="en-US"/>
        </w:rPr>
        <w:t xml:space="preserve"> so that NR RRC measurement reports are excluded.</w:t>
      </w:r>
      <w:bookmarkEnd w:id="20"/>
      <w:r>
        <w:rPr>
          <w:lang w:val="en-US"/>
        </w:rPr>
        <w:t xml:space="preserve"> </w:t>
      </w:r>
      <w:bookmarkEnd w:id="17"/>
      <w:bookmarkEnd w:id="18"/>
      <w:bookmarkEnd w:id="19"/>
    </w:p>
    <w:p w14:paraId="1AE0A971" w14:textId="56226F16" w:rsidR="0036571E" w:rsidRDefault="00391125" w:rsidP="00AC5C66">
      <w:pPr>
        <w:rPr>
          <w:lang w:val="en-US"/>
        </w:rPr>
      </w:pPr>
      <w:r>
        <w:rPr>
          <w:lang w:val="en-US"/>
        </w:rPr>
        <w:t xml:space="preserve">For the mapping of the NR RRC measurement reports, </w:t>
      </w:r>
      <w:r w:rsidR="0036571E">
        <w:rPr>
          <w:lang w:val="en-US"/>
        </w:rPr>
        <w:t>if the SCG SRB is configured, we see no need for sending the NR RRC measurement reports via the MCG SRB.</w:t>
      </w:r>
      <w:r w:rsidR="00D46EEE">
        <w:rPr>
          <w:lang w:val="en-US"/>
        </w:rPr>
        <w:t xml:space="preserve"> Instead, to ensure timely delivery of the measurement report to SN, </w:t>
      </w:r>
      <w:r w:rsidR="0036571E">
        <w:rPr>
          <w:lang w:val="en-US"/>
        </w:rPr>
        <w:t>we think the mapping of NR RRC measurement reports could be always to the SCG SRB, if SCG SRB is configured.</w:t>
      </w:r>
    </w:p>
    <w:p w14:paraId="7D425B12" w14:textId="3EABAC69" w:rsidR="00391125" w:rsidRDefault="000B306E" w:rsidP="00391125">
      <w:pPr>
        <w:pStyle w:val="Proposal"/>
        <w:rPr>
          <w:lang w:val="en-US"/>
        </w:rPr>
      </w:pPr>
      <w:bookmarkStart w:id="21" w:name="_Toc481438966"/>
      <w:bookmarkStart w:id="22" w:name="_Toc481493095"/>
      <w:bookmarkStart w:id="23" w:name="_Toc481738574"/>
      <w:bookmarkStart w:id="24" w:name="_Toc481795862"/>
      <w:r>
        <w:rPr>
          <w:lang w:val="en-US"/>
        </w:rPr>
        <w:t xml:space="preserve">NR RRC measurement reports </w:t>
      </w:r>
      <w:r w:rsidR="004C5CD9">
        <w:rPr>
          <w:lang w:val="en-US"/>
        </w:rPr>
        <w:t>are</w:t>
      </w:r>
      <w:r>
        <w:rPr>
          <w:lang w:val="en-US"/>
        </w:rPr>
        <w:t xml:space="preserve"> mapped to SCG SRB, if configured.</w:t>
      </w:r>
      <w:bookmarkEnd w:id="21"/>
      <w:bookmarkEnd w:id="22"/>
      <w:bookmarkEnd w:id="23"/>
      <w:bookmarkEnd w:id="24"/>
    </w:p>
    <w:p w14:paraId="58B6CB12" w14:textId="77777777" w:rsidR="00391125" w:rsidRDefault="00391125" w:rsidP="00AC5C66">
      <w:pPr>
        <w:rPr>
          <w:lang w:val="en-US"/>
        </w:rPr>
      </w:pPr>
    </w:p>
    <w:p w14:paraId="137D029F" w14:textId="6B3C1C7F" w:rsidR="00DC7F09" w:rsidRDefault="00DC7F09" w:rsidP="00AC5C66">
      <w:pPr>
        <w:rPr>
          <w:lang w:val="en-US"/>
        </w:rPr>
      </w:pPr>
      <w:r>
        <w:rPr>
          <w:lang w:val="en-US"/>
        </w:rPr>
        <w:lastRenderedPageBreak/>
        <w:t>Note that</w:t>
      </w:r>
      <w:r w:rsidR="0036571E">
        <w:rPr>
          <w:lang w:val="en-US"/>
        </w:rPr>
        <w:t xml:space="preserve"> this does not concern</w:t>
      </w:r>
      <w:r>
        <w:rPr>
          <w:lang w:val="en-US"/>
        </w:rPr>
        <w:t xml:space="preserve"> NR measurement reports configured by the MN</w:t>
      </w:r>
      <w:r w:rsidR="0036571E">
        <w:rPr>
          <w:lang w:val="en-US"/>
        </w:rPr>
        <w:t xml:space="preserve">. They </w:t>
      </w:r>
      <w:r>
        <w:rPr>
          <w:lang w:val="en-US"/>
        </w:rPr>
        <w:t>will be part of LTE RRC</w:t>
      </w:r>
      <w:r w:rsidR="00B52B6F">
        <w:rPr>
          <w:lang w:val="en-US"/>
        </w:rPr>
        <w:t xml:space="preserve"> measurement configuration</w:t>
      </w:r>
      <w:r>
        <w:rPr>
          <w:lang w:val="en-US"/>
        </w:rPr>
        <w:t xml:space="preserve">, </w:t>
      </w:r>
      <w:r w:rsidR="00B52B6F">
        <w:rPr>
          <w:lang w:val="en-US"/>
        </w:rPr>
        <w:t xml:space="preserve">and </w:t>
      </w:r>
      <w:r w:rsidR="000B306E">
        <w:rPr>
          <w:lang w:val="en-US"/>
        </w:rPr>
        <w:t xml:space="preserve">will </w:t>
      </w:r>
      <w:r>
        <w:rPr>
          <w:lang w:val="en-US"/>
        </w:rPr>
        <w:t xml:space="preserve">thus </w:t>
      </w:r>
      <w:r w:rsidR="000B306E">
        <w:rPr>
          <w:lang w:val="en-US"/>
        </w:rPr>
        <w:t>always be mapped to MCG SRB, according to agreement 5 above from RAN2#97bis</w:t>
      </w:r>
      <w:r>
        <w:rPr>
          <w:lang w:val="en-US"/>
        </w:rPr>
        <w:t xml:space="preserve">. </w:t>
      </w:r>
    </w:p>
    <w:p w14:paraId="27543A0A" w14:textId="77777777" w:rsidR="00C01F33" w:rsidRPr="00CE0424" w:rsidRDefault="00C01F33" w:rsidP="00CE0424">
      <w:pPr>
        <w:pStyle w:val="Heading1"/>
      </w:pPr>
      <w:r w:rsidRPr="00CE0424">
        <w:t>Conclusion</w:t>
      </w:r>
    </w:p>
    <w:p w14:paraId="45C5246C" w14:textId="77777777" w:rsidR="00372967"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6449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7132BC3" w14:textId="77777777" w:rsidR="00372967" w:rsidRPr="00372967" w:rsidRDefault="00372967">
      <w:pPr>
        <w:pStyle w:val="TOC1"/>
        <w:rPr>
          <w:rFonts w:asciiTheme="minorHAnsi" w:eastAsiaTheme="minorEastAsia" w:hAnsiTheme="minorHAnsi" w:cstheme="minorBidi"/>
          <w:b w:val="0"/>
          <w:sz w:val="22"/>
          <w:lang w:val="en-GB" w:eastAsia="fi-FI"/>
        </w:rPr>
      </w:pPr>
      <w:r w:rsidRPr="002B3A80">
        <w:t>Observation 1</w:t>
      </w:r>
      <w:r w:rsidRPr="00372967">
        <w:rPr>
          <w:rFonts w:asciiTheme="minorHAnsi" w:eastAsiaTheme="minorEastAsia" w:hAnsiTheme="minorHAnsi" w:cstheme="minorBidi"/>
          <w:b w:val="0"/>
          <w:sz w:val="22"/>
          <w:lang w:val="en-GB" w:eastAsia="fi-FI"/>
        </w:rPr>
        <w:tab/>
      </w:r>
      <w:r w:rsidRPr="002B3A80">
        <w:t>SCG SRB can only be used for procedures where coordination between MN and SN is not needed.</w:t>
      </w:r>
    </w:p>
    <w:p w14:paraId="75829A39" w14:textId="77777777" w:rsidR="00372967" w:rsidRPr="00372967" w:rsidRDefault="00372967">
      <w:pPr>
        <w:pStyle w:val="TOC1"/>
        <w:rPr>
          <w:rFonts w:asciiTheme="minorHAnsi" w:eastAsiaTheme="minorEastAsia" w:hAnsiTheme="minorHAnsi" w:cstheme="minorBidi"/>
          <w:b w:val="0"/>
          <w:sz w:val="22"/>
          <w:lang w:val="en-GB" w:eastAsia="fi-FI"/>
        </w:rPr>
      </w:pPr>
      <w:r w:rsidRPr="002B3A80">
        <w:t>Observation 2</w:t>
      </w:r>
      <w:r w:rsidRPr="00372967">
        <w:rPr>
          <w:rFonts w:asciiTheme="minorHAnsi" w:eastAsiaTheme="minorEastAsia" w:hAnsiTheme="minorHAnsi" w:cstheme="minorBidi"/>
          <w:b w:val="0"/>
          <w:sz w:val="22"/>
          <w:lang w:val="en-GB" w:eastAsia="fi-FI"/>
        </w:rPr>
        <w:tab/>
      </w:r>
      <w:r w:rsidRPr="002B3A80">
        <w:t>SCG SRB was introduced to allow direct signaling between SN and UE, e.g. for NR measurement reports in EN-DC.</w:t>
      </w:r>
    </w:p>
    <w:p w14:paraId="2E637A5D" w14:textId="77777777" w:rsidR="00372967" w:rsidRPr="00372967" w:rsidRDefault="00372967">
      <w:pPr>
        <w:pStyle w:val="TOC1"/>
        <w:rPr>
          <w:rFonts w:asciiTheme="minorHAnsi" w:eastAsiaTheme="minorEastAsia" w:hAnsiTheme="minorHAnsi" w:cstheme="minorBidi"/>
          <w:b w:val="0"/>
          <w:sz w:val="22"/>
          <w:lang w:val="en-GB" w:eastAsia="fi-FI"/>
        </w:rPr>
      </w:pPr>
      <w:r w:rsidRPr="002B3A80">
        <w:t>Observation 3</w:t>
      </w:r>
      <w:r w:rsidRPr="00372967">
        <w:rPr>
          <w:rFonts w:asciiTheme="minorHAnsi" w:eastAsiaTheme="minorEastAsia" w:hAnsiTheme="minorHAnsi" w:cstheme="minorBidi"/>
          <w:b w:val="0"/>
          <w:sz w:val="22"/>
          <w:lang w:val="en-GB" w:eastAsia="fi-FI"/>
        </w:rPr>
        <w:tab/>
      </w:r>
      <w:r w:rsidRPr="002B3A80">
        <w:t>NR RRC measurement reports are mapped to the same SRB as the measurement configuration initiating the measurement.</w:t>
      </w:r>
    </w:p>
    <w:p w14:paraId="395A0CCA" w14:textId="77777777" w:rsidR="00372967" w:rsidRPr="00372967" w:rsidRDefault="00372967">
      <w:pPr>
        <w:pStyle w:val="TOC1"/>
        <w:rPr>
          <w:rFonts w:asciiTheme="minorHAnsi" w:eastAsiaTheme="minorEastAsia" w:hAnsiTheme="minorHAnsi" w:cstheme="minorBidi"/>
          <w:b w:val="0"/>
          <w:sz w:val="22"/>
          <w:lang w:val="en-GB" w:eastAsia="fi-FI"/>
        </w:rPr>
      </w:pPr>
      <w:r w:rsidRPr="002B3A80">
        <w:t>Observation 4</w:t>
      </w:r>
      <w:r w:rsidRPr="00372967">
        <w:rPr>
          <w:rFonts w:asciiTheme="minorHAnsi" w:eastAsiaTheme="minorEastAsia" w:hAnsiTheme="minorHAnsi" w:cstheme="minorBidi"/>
          <w:b w:val="0"/>
          <w:sz w:val="22"/>
          <w:lang w:val="en-GB" w:eastAsia="fi-FI"/>
        </w:rPr>
        <w:tab/>
      </w:r>
      <w:r w:rsidRPr="002B3A80">
        <w:t>MN/SN measurement coordination is needed to ensure UE measurement capabilities are not exceeded in EN-DC operation.</w:t>
      </w:r>
    </w:p>
    <w:p w14:paraId="212FB434" w14:textId="77777777" w:rsidR="008E065E" w:rsidRDefault="008E065E" w:rsidP="008E065E">
      <w:pPr>
        <w:pStyle w:val="BodyText"/>
        <w:rPr>
          <w:b/>
          <w:bCs/>
        </w:rPr>
      </w:pPr>
      <w:r>
        <w:rPr>
          <w:b/>
          <w:bCs/>
        </w:rPr>
        <w:fldChar w:fldCharType="end"/>
      </w:r>
    </w:p>
    <w:p w14:paraId="5BD90923" w14:textId="77777777" w:rsidR="00372967"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6449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0407442" w14:textId="77777777" w:rsidR="00372967" w:rsidRPr="00372967" w:rsidRDefault="00372967">
      <w:pPr>
        <w:pStyle w:val="TOC1"/>
        <w:rPr>
          <w:rFonts w:asciiTheme="minorHAnsi" w:eastAsiaTheme="minorEastAsia" w:hAnsiTheme="minorHAnsi" w:cstheme="minorBidi"/>
          <w:b w:val="0"/>
          <w:sz w:val="22"/>
          <w:lang w:val="en-GB" w:eastAsia="fi-FI"/>
        </w:rPr>
      </w:pPr>
      <w:bookmarkStart w:id="25" w:name="_GoBack"/>
      <w:bookmarkEnd w:id="25"/>
      <w:r w:rsidRPr="000F1C96">
        <w:t>Proposal 1</w:t>
      </w:r>
      <w:r w:rsidRPr="00372967">
        <w:rPr>
          <w:rFonts w:asciiTheme="minorHAnsi" w:eastAsiaTheme="minorEastAsia" w:hAnsiTheme="minorHAnsi" w:cstheme="minorBidi"/>
          <w:b w:val="0"/>
          <w:sz w:val="22"/>
          <w:lang w:val="en-GB" w:eastAsia="fi-FI"/>
        </w:rPr>
        <w:tab/>
      </w:r>
      <w:r w:rsidRPr="000F1C96">
        <w:t>RAN2 to revisit the agreement 4 so that NR RRC measurement reports are excluded.</w:t>
      </w:r>
    </w:p>
    <w:p w14:paraId="33B8DB13" w14:textId="77777777" w:rsidR="00372967" w:rsidRPr="00372967" w:rsidRDefault="00372967">
      <w:pPr>
        <w:pStyle w:val="TOC1"/>
        <w:rPr>
          <w:rFonts w:asciiTheme="minorHAnsi" w:eastAsiaTheme="minorEastAsia" w:hAnsiTheme="minorHAnsi" w:cstheme="minorBidi"/>
          <w:b w:val="0"/>
          <w:sz w:val="22"/>
          <w:lang w:val="en-GB" w:eastAsia="fi-FI"/>
        </w:rPr>
      </w:pPr>
      <w:r w:rsidRPr="000F1C96">
        <w:t>Proposal 2</w:t>
      </w:r>
      <w:r w:rsidRPr="00372967">
        <w:rPr>
          <w:rFonts w:asciiTheme="minorHAnsi" w:eastAsiaTheme="minorEastAsia" w:hAnsiTheme="minorHAnsi" w:cstheme="minorBidi"/>
          <w:b w:val="0"/>
          <w:sz w:val="22"/>
          <w:lang w:val="en-GB" w:eastAsia="fi-FI"/>
        </w:rPr>
        <w:tab/>
      </w:r>
      <w:r w:rsidRPr="000F1C96">
        <w:t>NR RRC measurement reports are mapped to SCG SRB, if configured.</w:t>
      </w:r>
    </w:p>
    <w:p w14:paraId="3430D2B4" w14:textId="77777777" w:rsidR="008E065E" w:rsidRPr="00CE0424" w:rsidRDefault="008E065E" w:rsidP="008E065E">
      <w:pPr>
        <w:rPr>
          <w:b/>
          <w:bCs/>
        </w:rPr>
      </w:pPr>
      <w:r>
        <w:rPr>
          <w:b/>
          <w:bCs/>
        </w:rPr>
        <w:fldChar w:fldCharType="end"/>
      </w:r>
    </w:p>
    <w:p w14:paraId="1A39163A" w14:textId="77777777" w:rsidR="00311702" w:rsidRPr="00CE0424" w:rsidRDefault="00311702" w:rsidP="00AB0BC8"/>
    <w:p w14:paraId="44CC86A9" w14:textId="46F07126" w:rsidR="00F507D1" w:rsidRPr="00CE0424" w:rsidRDefault="00F507D1" w:rsidP="00CE0424">
      <w:pPr>
        <w:pStyle w:val="Heading1"/>
      </w:pPr>
      <w:r w:rsidRPr="00CE0424">
        <w:t>References</w:t>
      </w:r>
    </w:p>
    <w:p w14:paraId="24FF3B0F" w14:textId="2B49BB44" w:rsidR="000A5F06" w:rsidRDefault="000A5F06" w:rsidP="000A5F06">
      <w:pPr>
        <w:pStyle w:val="Reference"/>
      </w:pPr>
      <w:bookmarkStart w:id="26" w:name="_Ref481738853"/>
      <w:bookmarkStart w:id="27" w:name="_Ref174151459"/>
      <w:bookmarkStart w:id="28" w:name="_Ref189809556"/>
      <w:r>
        <w:t xml:space="preserve">R2-1704138, Summary of </w:t>
      </w:r>
      <w:r w:rsidRPr="000A5F06">
        <w:t>email discussion [97bis#10][NR] MN/SN measurement coordination</w:t>
      </w:r>
      <w:r>
        <w:t>, NTT DOCOMO, INC. (</w:t>
      </w:r>
      <w:r w:rsidRPr="000A5F06">
        <w:t>Email discussion rapporteur</w:t>
      </w:r>
      <w:r>
        <w:t>)</w:t>
      </w:r>
      <w:bookmarkEnd w:id="26"/>
      <w:bookmarkEnd w:id="27"/>
      <w:bookmarkEnd w:id="28"/>
    </w:p>
    <w:sectPr w:rsidR="000A5F0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D23AF" w14:textId="77777777" w:rsidR="005A40E8" w:rsidRDefault="005A40E8">
      <w:r>
        <w:separator/>
      </w:r>
    </w:p>
  </w:endnote>
  <w:endnote w:type="continuationSeparator" w:id="0">
    <w:p w14:paraId="4A426D25" w14:textId="77777777" w:rsidR="005A40E8" w:rsidRDefault="005A4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FA337" w14:textId="4BF33C1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296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296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EF22D" w14:textId="77777777" w:rsidR="005A40E8" w:rsidRDefault="005A40E8">
      <w:r>
        <w:separator/>
      </w:r>
    </w:p>
  </w:footnote>
  <w:footnote w:type="continuationSeparator" w:id="0">
    <w:p w14:paraId="048CE924" w14:textId="77777777" w:rsidR="005A40E8" w:rsidRDefault="005A4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F73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C42BDB"/>
    <w:multiLevelType w:val="hybridMultilevel"/>
    <w:tmpl w:val="FAF083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E766A2D"/>
    <w:multiLevelType w:val="hybridMultilevel"/>
    <w:tmpl w:val="A232E21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7CA217CC"/>
    <w:multiLevelType w:val="hybridMultilevel"/>
    <w:tmpl w:val="55121868"/>
    <w:lvl w:ilvl="0" w:tplc="48A8B7EC">
      <w:numFmt w:val="bullet"/>
      <w:lvlText w:val="-"/>
      <w:lvlJc w:val="left"/>
      <w:pPr>
        <w:ind w:left="720" w:hanging="360"/>
      </w:pPr>
      <w:rPr>
        <w:rFonts w:ascii="Segoe UI" w:eastAsia="Times New Roman" w:hAnsi="Segoe UI" w:cs="Segoe U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4"/>
  </w:num>
  <w:num w:numId="17">
    <w:abstractNumId w:val="17"/>
  </w:num>
  <w:num w:numId="1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49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F06"/>
    <w:rsid w:val="000B2719"/>
    <w:rsid w:val="000B306E"/>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666"/>
    <w:rsid w:val="00132FD0"/>
    <w:rsid w:val="001344C0"/>
    <w:rsid w:val="001346FA"/>
    <w:rsid w:val="00135252"/>
    <w:rsid w:val="00137AB5"/>
    <w:rsid w:val="00137F0B"/>
    <w:rsid w:val="00151E23"/>
    <w:rsid w:val="001526E0"/>
    <w:rsid w:val="001551B5"/>
    <w:rsid w:val="00157973"/>
    <w:rsid w:val="001659C1"/>
    <w:rsid w:val="00173A8E"/>
    <w:rsid w:val="00175400"/>
    <w:rsid w:val="00177795"/>
    <w:rsid w:val="0018143F"/>
    <w:rsid w:val="00190AC1"/>
    <w:rsid w:val="0019341A"/>
    <w:rsid w:val="0019604E"/>
    <w:rsid w:val="00197DF9"/>
    <w:rsid w:val="001A1987"/>
    <w:rsid w:val="001A2564"/>
    <w:rsid w:val="001A6173"/>
    <w:rsid w:val="001A6CBA"/>
    <w:rsid w:val="001B0D97"/>
    <w:rsid w:val="001B5A5D"/>
    <w:rsid w:val="001C1CE5"/>
    <w:rsid w:val="001C3526"/>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1334"/>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571E"/>
    <w:rsid w:val="00370E47"/>
    <w:rsid w:val="00372967"/>
    <w:rsid w:val="003742AC"/>
    <w:rsid w:val="00377CE1"/>
    <w:rsid w:val="00385BF0"/>
    <w:rsid w:val="00391125"/>
    <w:rsid w:val="003939FF"/>
    <w:rsid w:val="00396585"/>
    <w:rsid w:val="003A2223"/>
    <w:rsid w:val="003A2A0F"/>
    <w:rsid w:val="003A45A1"/>
    <w:rsid w:val="003A5B0A"/>
    <w:rsid w:val="003A6BAC"/>
    <w:rsid w:val="003A7EF3"/>
    <w:rsid w:val="003B159C"/>
    <w:rsid w:val="003B16A0"/>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350"/>
    <w:rsid w:val="00427248"/>
    <w:rsid w:val="00437447"/>
    <w:rsid w:val="00441A92"/>
    <w:rsid w:val="00444F56"/>
    <w:rsid w:val="00446488"/>
    <w:rsid w:val="004517AA"/>
    <w:rsid w:val="00452CAC"/>
    <w:rsid w:val="00457565"/>
    <w:rsid w:val="00457B71"/>
    <w:rsid w:val="004621D5"/>
    <w:rsid w:val="0046694A"/>
    <w:rsid w:val="004669E2"/>
    <w:rsid w:val="00470C31"/>
    <w:rsid w:val="004734D0"/>
    <w:rsid w:val="0047556B"/>
    <w:rsid w:val="00477768"/>
    <w:rsid w:val="00492BC5"/>
    <w:rsid w:val="004964F1"/>
    <w:rsid w:val="004A16BC"/>
    <w:rsid w:val="004A2B94"/>
    <w:rsid w:val="004A7FE6"/>
    <w:rsid w:val="004B7C0C"/>
    <w:rsid w:val="004C16AA"/>
    <w:rsid w:val="004C2DB9"/>
    <w:rsid w:val="004C3898"/>
    <w:rsid w:val="004C5CD9"/>
    <w:rsid w:val="004D36B1"/>
    <w:rsid w:val="004D7EBD"/>
    <w:rsid w:val="004E2680"/>
    <w:rsid w:val="004E28F9"/>
    <w:rsid w:val="004E462E"/>
    <w:rsid w:val="004E56DC"/>
    <w:rsid w:val="004E76F4"/>
    <w:rsid w:val="004F0B4E"/>
    <w:rsid w:val="004F0B6C"/>
    <w:rsid w:val="004F1D5A"/>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40E8"/>
    <w:rsid w:val="005A662D"/>
    <w:rsid w:val="005B35D7"/>
    <w:rsid w:val="005B392A"/>
    <w:rsid w:val="005B3AA3"/>
    <w:rsid w:val="005B591A"/>
    <w:rsid w:val="005B6F83"/>
    <w:rsid w:val="005C6728"/>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5DE2"/>
    <w:rsid w:val="00656A92"/>
    <w:rsid w:val="00656DDE"/>
    <w:rsid w:val="0066011D"/>
    <w:rsid w:val="006607C0"/>
    <w:rsid w:val="006613A6"/>
    <w:rsid w:val="006627A2"/>
    <w:rsid w:val="006634E6"/>
    <w:rsid w:val="00664494"/>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142"/>
    <w:rsid w:val="007348B1"/>
    <w:rsid w:val="007362A6"/>
    <w:rsid w:val="00736D7D"/>
    <w:rsid w:val="00740E58"/>
    <w:rsid w:val="007445A0"/>
    <w:rsid w:val="0074524B"/>
    <w:rsid w:val="00747D8B"/>
    <w:rsid w:val="00751228"/>
    <w:rsid w:val="007571E1"/>
    <w:rsid w:val="007604B2"/>
    <w:rsid w:val="00765281"/>
    <w:rsid w:val="0076680F"/>
    <w:rsid w:val="00766BAD"/>
    <w:rsid w:val="007730BD"/>
    <w:rsid w:val="007755F2"/>
    <w:rsid w:val="00776971"/>
    <w:rsid w:val="0078177E"/>
    <w:rsid w:val="0078304C"/>
    <w:rsid w:val="00783673"/>
    <w:rsid w:val="00785490"/>
    <w:rsid w:val="007925EA"/>
    <w:rsid w:val="00793CD8"/>
    <w:rsid w:val="00794665"/>
    <w:rsid w:val="00795C92"/>
    <w:rsid w:val="00796231"/>
    <w:rsid w:val="007A1CB3"/>
    <w:rsid w:val="007A306F"/>
    <w:rsid w:val="007A3BE4"/>
    <w:rsid w:val="007A3D70"/>
    <w:rsid w:val="007A43A6"/>
    <w:rsid w:val="007A58A6"/>
    <w:rsid w:val="007B3D2D"/>
    <w:rsid w:val="007B50AE"/>
    <w:rsid w:val="007B51DF"/>
    <w:rsid w:val="007C05DD"/>
    <w:rsid w:val="007C3D18"/>
    <w:rsid w:val="007C56F5"/>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4017"/>
    <w:rsid w:val="009053AA"/>
    <w:rsid w:val="00905A61"/>
    <w:rsid w:val="00906939"/>
    <w:rsid w:val="00910B7D"/>
    <w:rsid w:val="00911DFB"/>
    <w:rsid w:val="009139D9"/>
    <w:rsid w:val="00914AD8"/>
    <w:rsid w:val="00914DB8"/>
    <w:rsid w:val="00916079"/>
    <w:rsid w:val="00917CE9"/>
    <w:rsid w:val="00920BF2"/>
    <w:rsid w:val="00922010"/>
    <w:rsid w:val="00923888"/>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C66"/>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2B6F"/>
    <w:rsid w:val="00B6188F"/>
    <w:rsid w:val="00B664C7"/>
    <w:rsid w:val="00B739F6"/>
    <w:rsid w:val="00B81A6C"/>
    <w:rsid w:val="00B85DE5"/>
    <w:rsid w:val="00B90F73"/>
    <w:rsid w:val="00B93A07"/>
    <w:rsid w:val="00B93B59"/>
    <w:rsid w:val="00B9406A"/>
    <w:rsid w:val="00BA2280"/>
    <w:rsid w:val="00BA2A08"/>
    <w:rsid w:val="00BA56D2"/>
    <w:rsid w:val="00BA76E0"/>
    <w:rsid w:val="00BB2A25"/>
    <w:rsid w:val="00BB51E9"/>
    <w:rsid w:val="00BC0FDC"/>
    <w:rsid w:val="00BC3053"/>
    <w:rsid w:val="00BC4D2E"/>
    <w:rsid w:val="00BD48AC"/>
    <w:rsid w:val="00BD5297"/>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EEE"/>
    <w:rsid w:val="00D50F97"/>
    <w:rsid w:val="00D546FF"/>
    <w:rsid w:val="00D55AD5"/>
    <w:rsid w:val="00D576CA"/>
    <w:rsid w:val="00D61AF5"/>
    <w:rsid w:val="00D62831"/>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1BF3"/>
    <w:rsid w:val="00DC2D36"/>
    <w:rsid w:val="00DC4EEC"/>
    <w:rsid w:val="00DC53EF"/>
    <w:rsid w:val="00DC7F09"/>
    <w:rsid w:val="00DE472B"/>
    <w:rsid w:val="00DE5608"/>
    <w:rsid w:val="00DE58D0"/>
    <w:rsid w:val="00DE654F"/>
    <w:rsid w:val="00DF0B6E"/>
    <w:rsid w:val="00DF15E0"/>
    <w:rsid w:val="00DF37A0"/>
    <w:rsid w:val="00E110E7"/>
    <w:rsid w:val="00E11B20"/>
    <w:rsid w:val="00E13FB3"/>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BD2"/>
    <w:rsid w:val="00EF18FE"/>
    <w:rsid w:val="00EF5787"/>
    <w:rsid w:val="00EF60D0"/>
    <w:rsid w:val="00F0528D"/>
    <w:rsid w:val="00F06C67"/>
    <w:rsid w:val="00F06DFD"/>
    <w:rsid w:val="00F071D1"/>
    <w:rsid w:val="00F07533"/>
    <w:rsid w:val="00F10629"/>
    <w:rsid w:val="00F15FA5"/>
    <w:rsid w:val="00F209B7"/>
    <w:rsid w:val="00F22BD9"/>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0AE"/>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7E5D9"/>
  <w15:docId w15:val="{7A7BA6EA-58BB-4DCC-BFDC-B8F9FC4B1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621D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621D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621D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621D5"/>
    <w:pPr>
      <w:numPr>
        <w:ilvl w:val="2"/>
      </w:numPr>
      <w:spacing w:before="120"/>
      <w:outlineLvl w:val="2"/>
    </w:pPr>
    <w:rPr>
      <w:sz w:val="28"/>
      <w:szCs w:val="28"/>
    </w:rPr>
  </w:style>
  <w:style w:type="paragraph" w:styleId="Heading4">
    <w:name w:val="heading 4"/>
    <w:basedOn w:val="Heading3"/>
    <w:next w:val="Normal"/>
    <w:qFormat/>
    <w:rsid w:val="004621D5"/>
    <w:pPr>
      <w:numPr>
        <w:ilvl w:val="3"/>
      </w:numPr>
      <w:outlineLvl w:val="3"/>
    </w:pPr>
    <w:rPr>
      <w:sz w:val="24"/>
      <w:szCs w:val="24"/>
    </w:rPr>
  </w:style>
  <w:style w:type="paragraph" w:styleId="Heading5">
    <w:name w:val="heading 5"/>
    <w:basedOn w:val="Heading4"/>
    <w:next w:val="Normal"/>
    <w:qFormat/>
    <w:rsid w:val="004621D5"/>
    <w:pPr>
      <w:numPr>
        <w:ilvl w:val="4"/>
      </w:numPr>
      <w:outlineLvl w:val="4"/>
    </w:pPr>
    <w:rPr>
      <w:sz w:val="22"/>
      <w:szCs w:val="22"/>
    </w:rPr>
  </w:style>
  <w:style w:type="paragraph" w:styleId="Heading6">
    <w:name w:val="heading 6"/>
    <w:basedOn w:val="Normal"/>
    <w:next w:val="Normal"/>
    <w:qFormat/>
    <w:rsid w:val="004621D5"/>
    <w:pPr>
      <w:keepNext/>
      <w:keepLines/>
      <w:numPr>
        <w:ilvl w:val="5"/>
        <w:numId w:val="1"/>
      </w:numPr>
      <w:spacing w:before="120"/>
      <w:outlineLvl w:val="5"/>
    </w:pPr>
    <w:rPr>
      <w:rFonts w:cs="Arial"/>
    </w:rPr>
  </w:style>
  <w:style w:type="paragraph" w:styleId="Heading7">
    <w:name w:val="heading 7"/>
    <w:basedOn w:val="Normal"/>
    <w:next w:val="Normal"/>
    <w:qFormat/>
    <w:rsid w:val="004621D5"/>
    <w:pPr>
      <w:keepNext/>
      <w:keepLines/>
      <w:numPr>
        <w:ilvl w:val="6"/>
        <w:numId w:val="1"/>
      </w:numPr>
      <w:spacing w:before="120"/>
      <w:outlineLvl w:val="6"/>
    </w:pPr>
    <w:rPr>
      <w:rFonts w:cs="Arial"/>
    </w:rPr>
  </w:style>
  <w:style w:type="paragraph" w:styleId="Heading8">
    <w:name w:val="heading 8"/>
    <w:basedOn w:val="Heading7"/>
    <w:next w:val="Normal"/>
    <w:qFormat/>
    <w:rsid w:val="004621D5"/>
    <w:pPr>
      <w:numPr>
        <w:ilvl w:val="7"/>
      </w:numPr>
      <w:outlineLvl w:val="7"/>
    </w:pPr>
  </w:style>
  <w:style w:type="paragraph" w:styleId="Heading9">
    <w:name w:val="heading 9"/>
    <w:basedOn w:val="Heading8"/>
    <w:next w:val="Normal"/>
    <w:qFormat/>
    <w:rsid w:val="004621D5"/>
    <w:pPr>
      <w:numPr>
        <w:ilvl w:val="8"/>
      </w:numPr>
      <w:outlineLvl w:val="8"/>
    </w:pPr>
  </w:style>
  <w:style w:type="character" w:default="1" w:styleId="DefaultParagraphFont">
    <w:name w:val="Default Paragraph Font"/>
    <w:uiPriority w:val="1"/>
    <w:semiHidden/>
    <w:unhideWhenUsed/>
    <w:rsid w:val="004621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21D5"/>
  </w:style>
  <w:style w:type="paragraph" w:styleId="TOC8">
    <w:name w:val="toc 8"/>
    <w:basedOn w:val="TOC1"/>
    <w:semiHidden/>
    <w:rsid w:val="004621D5"/>
    <w:pPr>
      <w:spacing w:before="180"/>
      <w:ind w:left="2693" w:hanging="2693"/>
    </w:pPr>
    <w:rPr>
      <w:b w:val="0"/>
      <w:bCs/>
    </w:rPr>
  </w:style>
  <w:style w:type="paragraph" w:styleId="TOC1">
    <w:name w:val="toc 1"/>
    <w:aliases w:val="Observation TOC2"/>
    <w:uiPriority w:val="39"/>
    <w:rsid w:val="004621D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621D5"/>
    <w:pPr>
      <w:keepNext/>
      <w:keepLines/>
      <w:spacing w:before="180"/>
      <w:jc w:val="center"/>
    </w:pPr>
  </w:style>
  <w:style w:type="paragraph" w:styleId="Caption">
    <w:name w:val="caption"/>
    <w:basedOn w:val="Normal"/>
    <w:next w:val="Normal"/>
    <w:qFormat/>
    <w:rsid w:val="004621D5"/>
    <w:pPr>
      <w:spacing w:after="240"/>
      <w:jc w:val="center"/>
    </w:pPr>
    <w:rPr>
      <w:b/>
      <w:bCs/>
    </w:rPr>
  </w:style>
  <w:style w:type="paragraph" w:styleId="TOC5">
    <w:name w:val="toc 5"/>
    <w:aliases w:val="Observation TOC"/>
    <w:basedOn w:val="TOC4"/>
    <w:semiHidden/>
    <w:rsid w:val="004621D5"/>
    <w:pPr>
      <w:tabs>
        <w:tab w:val="right" w:pos="1701"/>
      </w:tabs>
      <w:ind w:left="1701" w:hanging="1701"/>
    </w:pPr>
  </w:style>
  <w:style w:type="paragraph" w:styleId="TOC4">
    <w:name w:val="toc 4"/>
    <w:basedOn w:val="TOC3"/>
    <w:semiHidden/>
    <w:rsid w:val="004621D5"/>
    <w:pPr>
      <w:ind w:left="1418" w:hanging="1418"/>
    </w:pPr>
  </w:style>
  <w:style w:type="paragraph" w:styleId="TOC3">
    <w:name w:val="toc 3"/>
    <w:basedOn w:val="TOC2"/>
    <w:semiHidden/>
    <w:rsid w:val="004621D5"/>
    <w:pPr>
      <w:ind w:left="1134" w:hanging="1134"/>
    </w:pPr>
  </w:style>
  <w:style w:type="paragraph" w:styleId="TOC2">
    <w:name w:val="toc 2"/>
    <w:basedOn w:val="TOC1"/>
    <w:semiHidden/>
    <w:rsid w:val="004621D5"/>
    <w:pPr>
      <w:keepNext w:val="0"/>
      <w:spacing w:before="0"/>
      <w:ind w:left="851" w:hanging="851"/>
    </w:pPr>
    <w:rPr>
      <w:szCs w:val="20"/>
    </w:rPr>
  </w:style>
  <w:style w:type="paragraph" w:styleId="Index2">
    <w:name w:val="index 2"/>
    <w:basedOn w:val="Index1"/>
    <w:semiHidden/>
    <w:rsid w:val="004621D5"/>
    <w:pPr>
      <w:ind w:left="284"/>
    </w:pPr>
  </w:style>
  <w:style w:type="paragraph" w:styleId="Index1">
    <w:name w:val="index 1"/>
    <w:basedOn w:val="Normal"/>
    <w:semiHidden/>
    <w:rsid w:val="004621D5"/>
    <w:pPr>
      <w:keepLines/>
      <w:spacing w:after="0"/>
    </w:pPr>
  </w:style>
  <w:style w:type="paragraph" w:styleId="DocumentMap">
    <w:name w:val="Document Map"/>
    <w:basedOn w:val="Normal"/>
    <w:semiHidden/>
    <w:rsid w:val="004621D5"/>
    <w:pPr>
      <w:shd w:val="clear" w:color="auto" w:fill="000080"/>
    </w:pPr>
    <w:rPr>
      <w:rFonts w:ascii="Tahoma" w:hAnsi="Tahoma" w:cs="Tahoma"/>
    </w:rPr>
  </w:style>
  <w:style w:type="paragraph" w:styleId="ListNumber2">
    <w:name w:val="List Number 2"/>
    <w:basedOn w:val="ListNumber"/>
    <w:rsid w:val="004621D5"/>
    <w:pPr>
      <w:ind w:left="851"/>
    </w:pPr>
  </w:style>
  <w:style w:type="paragraph" w:styleId="ListNumber">
    <w:name w:val="List Number"/>
    <w:basedOn w:val="List"/>
    <w:rsid w:val="004621D5"/>
  </w:style>
  <w:style w:type="paragraph" w:styleId="List">
    <w:name w:val="List"/>
    <w:basedOn w:val="Normal"/>
    <w:rsid w:val="004621D5"/>
    <w:pPr>
      <w:ind w:left="568" w:hanging="284"/>
    </w:pPr>
  </w:style>
  <w:style w:type="paragraph" w:styleId="Header">
    <w:name w:val="header"/>
    <w:rsid w:val="004621D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621D5"/>
    <w:rPr>
      <w:b/>
      <w:bCs/>
      <w:position w:val="6"/>
      <w:sz w:val="16"/>
      <w:szCs w:val="16"/>
    </w:rPr>
  </w:style>
  <w:style w:type="paragraph" w:styleId="FootnoteText">
    <w:name w:val="footnote text"/>
    <w:basedOn w:val="Normal"/>
    <w:semiHidden/>
    <w:rsid w:val="004621D5"/>
    <w:pPr>
      <w:keepLines/>
      <w:spacing w:after="0"/>
      <w:ind w:left="454" w:hanging="454"/>
    </w:pPr>
    <w:rPr>
      <w:sz w:val="16"/>
      <w:szCs w:val="16"/>
    </w:rPr>
  </w:style>
  <w:style w:type="paragraph" w:customStyle="1" w:styleId="3GPPHeader">
    <w:name w:val="3GPP_Header"/>
    <w:basedOn w:val="Normal"/>
    <w:rsid w:val="004621D5"/>
    <w:pPr>
      <w:tabs>
        <w:tab w:val="left" w:pos="1701"/>
        <w:tab w:val="right" w:pos="9639"/>
      </w:tabs>
      <w:spacing w:after="240"/>
    </w:pPr>
    <w:rPr>
      <w:b/>
      <w:sz w:val="24"/>
    </w:rPr>
  </w:style>
  <w:style w:type="paragraph" w:styleId="TOC9">
    <w:name w:val="toc 9"/>
    <w:basedOn w:val="TOC8"/>
    <w:semiHidden/>
    <w:rsid w:val="004621D5"/>
    <w:pPr>
      <w:ind w:left="1418" w:hanging="1418"/>
    </w:pPr>
  </w:style>
  <w:style w:type="paragraph" w:styleId="TOC6">
    <w:name w:val="toc 6"/>
    <w:basedOn w:val="TOC5"/>
    <w:next w:val="Normal"/>
    <w:semiHidden/>
    <w:rsid w:val="004621D5"/>
    <w:pPr>
      <w:ind w:left="1985" w:hanging="1985"/>
    </w:pPr>
  </w:style>
  <w:style w:type="paragraph" w:styleId="TOC7">
    <w:name w:val="toc 7"/>
    <w:basedOn w:val="TOC6"/>
    <w:next w:val="Normal"/>
    <w:semiHidden/>
    <w:rsid w:val="004621D5"/>
    <w:pPr>
      <w:ind w:left="2268" w:hanging="2268"/>
    </w:pPr>
  </w:style>
  <w:style w:type="paragraph" w:styleId="ListBullet2">
    <w:name w:val="List Bullet 2"/>
    <w:basedOn w:val="ListBullet"/>
    <w:rsid w:val="004621D5"/>
    <w:pPr>
      <w:numPr>
        <w:numId w:val="6"/>
      </w:numPr>
    </w:pPr>
  </w:style>
  <w:style w:type="paragraph" w:styleId="ListBullet">
    <w:name w:val="List Bullet"/>
    <w:basedOn w:val="BodyText"/>
    <w:rsid w:val="004621D5"/>
    <w:pPr>
      <w:numPr>
        <w:numId w:val="5"/>
      </w:numPr>
    </w:pPr>
  </w:style>
  <w:style w:type="paragraph" w:styleId="ListBullet3">
    <w:name w:val="List Bullet 3"/>
    <w:basedOn w:val="ListBullet2"/>
    <w:rsid w:val="004621D5"/>
    <w:pPr>
      <w:numPr>
        <w:numId w:val="7"/>
      </w:numPr>
    </w:pPr>
  </w:style>
  <w:style w:type="paragraph" w:customStyle="1" w:styleId="EQ">
    <w:name w:val="EQ"/>
    <w:basedOn w:val="Normal"/>
    <w:next w:val="Normal"/>
    <w:rsid w:val="004621D5"/>
    <w:pPr>
      <w:keepLines/>
      <w:tabs>
        <w:tab w:val="center" w:pos="4536"/>
        <w:tab w:val="right" w:pos="9072"/>
      </w:tabs>
      <w:spacing w:after="180"/>
      <w:jc w:val="left"/>
    </w:pPr>
    <w:rPr>
      <w:noProof/>
      <w:lang w:eastAsia="en-US"/>
    </w:rPr>
  </w:style>
  <w:style w:type="paragraph" w:styleId="List2">
    <w:name w:val="List 2"/>
    <w:basedOn w:val="List"/>
    <w:rsid w:val="004621D5"/>
    <w:pPr>
      <w:ind w:left="851"/>
    </w:pPr>
  </w:style>
  <w:style w:type="paragraph" w:styleId="List3">
    <w:name w:val="List 3"/>
    <w:basedOn w:val="List2"/>
    <w:rsid w:val="004621D5"/>
    <w:pPr>
      <w:ind w:left="1135"/>
    </w:pPr>
  </w:style>
  <w:style w:type="paragraph" w:styleId="List4">
    <w:name w:val="List 4"/>
    <w:basedOn w:val="List3"/>
    <w:rsid w:val="004621D5"/>
    <w:pPr>
      <w:ind w:left="1418"/>
    </w:pPr>
  </w:style>
  <w:style w:type="paragraph" w:styleId="List5">
    <w:name w:val="List 5"/>
    <w:basedOn w:val="List4"/>
    <w:rsid w:val="004621D5"/>
    <w:pPr>
      <w:ind w:left="1702"/>
    </w:pPr>
  </w:style>
  <w:style w:type="paragraph" w:customStyle="1" w:styleId="EditorsNote">
    <w:name w:val="Editor's Note"/>
    <w:basedOn w:val="Normal"/>
    <w:rsid w:val="004621D5"/>
    <w:pPr>
      <w:keepLines/>
      <w:spacing w:after="180"/>
      <w:ind w:left="1135" w:hanging="851"/>
      <w:jc w:val="left"/>
    </w:pPr>
    <w:rPr>
      <w:color w:val="FF0000"/>
      <w:lang w:eastAsia="en-US"/>
    </w:rPr>
  </w:style>
  <w:style w:type="paragraph" w:styleId="ListBullet4">
    <w:name w:val="List Bullet 4"/>
    <w:basedOn w:val="ListBullet3"/>
    <w:rsid w:val="004621D5"/>
    <w:pPr>
      <w:numPr>
        <w:numId w:val="8"/>
      </w:numPr>
    </w:pPr>
  </w:style>
  <w:style w:type="paragraph" w:styleId="ListBullet5">
    <w:name w:val="List Bullet 5"/>
    <w:basedOn w:val="ListBullet4"/>
    <w:rsid w:val="004621D5"/>
    <w:pPr>
      <w:numPr>
        <w:numId w:val="4"/>
      </w:numPr>
    </w:pPr>
  </w:style>
  <w:style w:type="paragraph" w:styleId="Footer">
    <w:name w:val="footer"/>
    <w:basedOn w:val="Header"/>
    <w:semiHidden/>
    <w:rsid w:val="004621D5"/>
    <w:pPr>
      <w:jc w:val="center"/>
    </w:pPr>
    <w:rPr>
      <w:i/>
      <w:iCs/>
    </w:rPr>
  </w:style>
  <w:style w:type="paragraph" w:customStyle="1" w:styleId="Reference">
    <w:name w:val="Reference"/>
    <w:basedOn w:val="Normal"/>
    <w:rsid w:val="004621D5"/>
    <w:pPr>
      <w:numPr>
        <w:numId w:val="2"/>
      </w:numPr>
    </w:pPr>
  </w:style>
  <w:style w:type="paragraph" w:styleId="BalloonText">
    <w:name w:val="Balloon Text"/>
    <w:basedOn w:val="Normal"/>
    <w:semiHidden/>
    <w:rsid w:val="004621D5"/>
    <w:rPr>
      <w:rFonts w:ascii="Tahoma" w:hAnsi="Tahoma" w:cs="Tahoma"/>
      <w:sz w:val="16"/>
      <w:szCs w:val="16"/>
    </w:rPr>
  </w:style>
  <w:style w:type="character" w:styleId="PageNumber">
    <w:name w:val="page number"/>
    <w:basedOn w:val="DefaultParagraphFont"/>
    <w:semiHidden/>
    <w:rsid w:val="004621D5"/>
  </w:style>
  <w:style w:type="paragraph" w:styleId="BodyText">
    <w:name w:val="Body Text"/>
    <w:basedOn w:val="Normal"/>
    <w:link w:val="BodyTextChar"/>
    <w:rsid w:val="004621D5"/>
  </w:style>
  <w:style w:type="character" w:styleId="Hyperlink">
    <w:name w:val="Hyperlink"/>
    <w:uiPriority w:val="99"/>
    <w:rsid w:val="004621D5"/>
    <w:rPr>
      <w:color w:val="0000FF"/>
      <w:u w:val="single"/>
      <w:lang w:val="en-GB"/>
    </w:rPr>
  </w:style>
  <w:style w:type="character" w:styleId="FollowedHyperlink">
    <w:name w:val="FollowedHyperlink"/>
    <w:semiHidden/>
    <w:rsid w:val="004621D5"/>
    <w:rPr>
      <w:color w:val="FF0000"/>
      <w:u w:val="single"/>
    </w:rPr>
  </w:style>
  <w:style w:type="character" w:styleId="CommentReference">
    <w:name w:val="annotation reference"/>
    <w:semiHidden/>
    <w:rsid w:val="004621D5"/>
    <w:rPr>
      <w:sz w:val="16"/>
      <w:szCs w:val="16"/>
    </w:rPr>
  </w:style>
  <w:style w:type="paragraph" w:styleId="CommentText">
    <w:name w:val="annotation text"/>
    <w:basedOn w:val="Normal"/>
    <w:semiHidden/>
    <w:rsid w:val="004621D5"/>
  </w:style>
  <w:style w:type="paragraph" w:styleId="CommentSubject">
    <w:name w:val="annotation subject"/>
    <w:basedOn w:val="CommentText"/>
    <w:next w:val="CommentText"/>
    <w:semiHidden/>
    <w:rsid w:val="004621D5"/>
    <w:rPr>
      <w:b/>
      <w:bCs/>
    </w:rPr>
  </w:style>
  <w:style w:type="character" w:customStyle="1" w:styleId="Heading1Char">
    <w:name w:val="Heading 1 Char"/>
    <w:link w:val="Heading1"/>
    <w:rsid w:val="004621D5"/>
    <w:rPr>
      <w:rFonts w:ascii="Arial" w:hAnsi="Arial" w:cs="Arial"/>
      <w:sz w:val="36"/>
      <w:szCs w:val="36"/>
      <w:lang w:val="en-GB" w:eastAsia="zh-CN"/>
    </w:rPr>
  </w:style>
  <w:style w:type="paragraph" w:customStyle="1" w:styleId="B1">
    <w:name w:val="B1"/>
    <w:basedOn w:val="List"/>
    <w:rsid w:val="004621D5"/>
    <w:pPr>
      <w:spacing w:after="180"/>
      <w:jc w:val="left"/>
    </w:pPr>
    <w:rPr>
      <w:lang w:eastAsia="en-US"/>
    </w:rPr>
  </w:style>
  <w:style w:type="paragraph" w:customStyle="1" w:styleId="B2">
    <w:name w:val="B2"/>
    <w:basedOn w:val="List2"/>
    <w:rsid w:val="004621D5"/>
    <w:pPr>
      <w:spacing w:after="180"/>
      <w:jc w:val="left"/>
    </w:pPr>
    <w:rPr>
      <w:lang w:eastAsia="en-US"/>
    </w:rPr>
  </w:style>
  <w:style w:type="paragraph" w:customStyle="1" w:styleId="B3">
    <w:name w:val="B3"/>
    <w:basedOn w:val="List3"/>
    <w:rsid w:val="004621D5"/>
    <w:pPr>
      <w:spacing w:after="180"/>
      <w:jc w:val="left"/>
    </w:pPr>
    <w:rPr>
      <w:lang w:eastAsia="en-US"/>
    </w:rPr>
  </w:style>
  <w:style w:type="paragraph" w:customStyle="1" w:styleId="B4">
    <w:name w:val="B4"/>
    <w:basedOn w:val="List4"/>
    <w:rsid w:val="004621D5"/>
    <w:pPr>
      <w:spacing w:after="180"/>
      <w:jc w:val="left"/>
    </w:pPr>
    <w:rPr>
      <w:lang w:eastAsia="en-US"/>
    </w:rPr>
  </w:style>
  <w:style w:type="paragraph" w:customStyle="1" w:styleId="Proposal">
    <w:name w:val="Proposal"/>
    <w:basedOn w:val="Normal"/>
    <w:rsid w:val="004621D5"/>
    <w:pPr>
      <w:numPr>
        <w:numId w:val="3"/>
      </w:numPr>
      <w:tabs>
        <w:tab w:val="clear" w:pos="1304"/>
        <w:tab w:val="left" w:pos="1701"/>
      </w:tabs>
      <w:ind w:left="1701" w:hanging="1701"/>
    </w:pPr>
    <w:rPr>
      <w:b/>
      <w:bCs/>
    </w:rPr>
  </w:style>
  <w:style w:type="character" w:customStyle="1" w:styleId="BodyTextChar">
    <w:name w:val="Body Text Char"/>
    <w:link w:val="BodyText"/>
    <w:rsid w:val="004621D5"/>
    <w:rPr>
      <w:rFonts w:ascii="Arial" w:hAnsi="Arial"/>
      <w:lang w:val="en-GB" w:eastAsia="zh-CN"/>
    </w:rPr>
  </w:style>
  <w:style w:type="paragraph" w:customStyle="1" w:styleId="B5">
    <w:name w:val="B5"/>
    <w:basedOn w:val="List5"/>
    <w:rsid w:val="004621D5"/>
    <w:pPr>
      <w:spacing w:after="180"/>
      <w:jc w:val="left"/>
    </w:pPr>
    <w:rPr>
      <w:lang w:eastAsia="en-US"/>
    </w:rPr>
  </w:style>
  <w:style w:type="paragraph" w:customStyle="1" w:styleId="EX">
    <w:name w:val="EX"/>
    <w:basedOn w:val="Normal"/>
    <w:rsid w:val="004621D5"/>
    <w:pPr>
      <w:keepLines/>
      <w:spacing w:after="180"/>
      <w:ind w:left="1702" w:hanging="1418"/>
      <w:jc w:val="left"/>
    </w:pPr>
    <w:rPr>
      <w:lang w:eastAsia="en-US"/>
    </w:rPr>
  </w:style>
  <w:style w:type="paragraph" w:customStyle="1" w:styleId="EW">
    <w:name w:val="EW"/>
    <w:basedOn w:val="EX"/>
    <w:rsid w:val="004621D5"/>
    <w:pPr>
      <w:spacing w:after="0"/>
    </w:pPr>
  </w:style>
  <w:style w:type="paragraph" w:customStyle="1" w:styleId="TAL">
    <w:name w:val="TAL"/>
    <w:basedOn w:val="Normal"/>
    <w:rsid w:val="004621D5"/>
    <w:pPr>
      <w:keepNext/>
      <w:keepLines/>
      <w:spacing w:after="0"/>
      <w:jc w:val="left"/>
    </w:pPr>
    <w:rPr>
      <w:sz w:val="18"/>
      <w:lang w:eastAsia="en-US"/>
    </w:rPr>
  </w:style>
  <w:style w:type="paragraph" w:customStyle="1" w:styleId="TAC">
    <w:name w:val="TAC"/>
    <w:basedOn w:val="TAL"/>
    <w:rsid w:val="004621D5"/>
    <w:pPr>
      <w:jc w:val="center"/>
    </w:pPr>
  </w:style>
  <w:style w:type="paragraph" w:customStyle="1" w:styleId="TAH">
    <w:name w:val="TAH"/>
    <w:basedOn w:val="TAC"/>
    <w:rsid w:val="004621D5"/>
    <w:rPr>
      <w:b/>
    </w:rPr>
  </w:style>
  <w:style w:type="paragraph" w:customStyle="1" w:styleId="TAN">
    <w:name w:val="TAN"/>
    <w:basedOn w:val="TAL"/>
    <w:rsid w:val="004621D5"/>
    <w:pPr>
      <w:ind w:left="851" w:hanging="851"/>
    </w:pPr>
  </w:style>
  <w:style w:type="paragraph" w:customStyle="1" w:styleId="TAR">
    <w:name w:val="TAR"/>
    <w:basedOn w:val="TAL"/>
    <w:rsid w:val="004621D5"/>
    <w:pPr>
      <w:jc w:val="right"/>
    </w:pPr>
  </w:style>
  <w:style w:type="paragraph" w:customStyle="1" w:styleId="TH">
    <w:name w:val="TH"/>
    <w:basedOn w:val="Normal"/>
    <w:rsid w:val="004621D5"/>
    <w:pPr>
      <w:keepNext/>
      <w:keepLines/>
      <w:spacing w:before="60" w:after="180"/>
      <w:jc w:val="center"/>
    </w:pPr>
    <w:rPr>
      <w:b/>
      <w:lang w:eastAsia="en-US"/>
    </w:rPr>
  </w:style>
  <w:style w:type="paragraph" w:customStyle="1" w:styleId="TF">
    <w:name w:val="TF"/>
    <w:basedOn w:val="TH"/>
    <w:rsid w:val="004621D5"/>
    <w:pPr>
      <w:keepNext w:val="0"/>
      <w:spacing w:before="0" w:after="240"/>
    </w:pPr>
  </w:style>
  <w:style w:type="paragraph" w:customStyle="1" w:styleId="TT">
    <w:name w:val="TT"/>
    <w:basedOn w:val="Heading1"/>
    <w:next w:val="Normal"/>
    <w:rsid w:val="004621D5"/>
    <w:pPr>
      <w:numPr>
        <w:numId w:val="0"/>
      </w:numPr>
      <w:ind w:left="1134" w:hanging="1134"/>
      <w:outlineLvl w:val="9"/>
    </w:pPr>
    <w:rPr>
      <w:rFonts w:cs="Times New Roman"/>
      <w:szCs w:val="20"/>
      <w:lang w:eastAsia="en-US"/>
    </w:rPr>
  </w:style>
  <w:style w:type="paragraph" w:customStyle="1" w:styleId="ZA">
    <w:name w:val="ZA"/>
    <w:rsid w:val="004621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21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621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621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621D5"/>
  </w:style>
  <w:style w:type="paragraph" w:customStyle="1" w:styleId="ZH">
    <w:name w:val="ZH"/>
    <w:rsid w:val="004621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621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621D5"/>
    <w:pPr>
      <w:framePr w:hRule="auto" w:wrap="notBeside" w:y="852"/>
    </w:pPr>
    <w:rPr>
      <w:i w:val="0"/>
      <w:sz w:val="40"/>
    </w:rPr>
  </w:style>
  <w:style w:type="paragraph" w:customStyle="1" w:styleId="ZU">
    <w:name w:val="ZU"/>
    <w:rsid w:val="004621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621D5"/>
    <w:pPr>
      <w:framePr w:wrap="notBeside" w:y="16161"/>
    </w:pPr>
  </w:style>
  <w:style w:type="paragraph" w:customStyle="1" w:styleId="FP">
    <w:name w:val="FP"/>
    <w:basedOn w:val="Normal"/>
    <w:rsid w:val="004621D5"/>
    <w:pPr>
      <w:spacing w:after="0"/>
      <w:jc w:val="left"/>
    </w:pPr>
    <w:rPr>
      <w:lang w:eastAsia="en-US"/>
    </w:rPr>
  </w:style>
  <w:style w:type="paragraph" w:customStyle="1" w:styleId="Observation">
    <w:name w:val="Observation"/>
    <w:basedOn w:val="Proposal"/>
    <w:qFormat/>
    <w:rsid w:val="004621D5"/>
    <w:pPr>
      <w:numPr>
        <w:numId w:val="13"/>
      </w:numPr>
      <w:ind w:left="1701" w:hanging="1701"/>
    </w:pPr>
  </w:style>
  <w:style w:type="paragraph" w:styleId="TableofFigures">
    <w:name w:val="table of figures"/>
    <w:basedOn w:val="Normal"/>
    <w:next w:val="Normal"/>
    <w:uiPriority w:val="99"/>
    <w:rsid w:val="004621D5"/>
    <w:pPr>
      <w:ind w:left="1418" w:hanging="1418"/>
      <w:jc w:val="left"/>
    </w:pPr>
    <w:rPr>
      <w:b/>
    </w:rPr>
  </w:style>
  <w:style w:type="paragraph" w:customStyle="1" w:styleId="Doc-text2">
    <w:name w:val="Doc-text2"/>
    <w:basedOn w:val="Normal"/>
    <w:link w:val="Doc-text2Char"/>
    <w:qFormat/>
    <w:rsid w:val="004621D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621D5"/>
    <w:rPr>
      <w:rFonts w:ascii="Arial" w:eastAsia="MS Mincho" w:hAnsi="Arial"/>
      <w:szCs w:val="24"/>
      <w:lang w:val="en-GB" w:eastAsia="en-GB"/>
    </w:rPr>
  </w:style>
  <w:style w:type="paragraph" w:styleId="ListParagraph">
    <w:name w:val="List Paragraph"/>
    <w:basedOn w:val="Normal"/>
    <w:uiPriority w:val="34"/>
    <w:qFormat/>
    <w:rsid w:val="00655DE2"/>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PLChar">
    <w:name w:val="PL Char"/>
    <w:link w:val="PL"/>
    <w:locked/>
    <w:rsid w:val="00655DE2"/>
    <w:rPr>
      <w:rFonts w:ascii="Courier New" w:hAnsi="Courier New" w:cs="Courier New"/>
      <w:noProof/>
      <w:sz w:val="16"/>
      <w:lang w:val="en-GB"/>
    </w:rPr>
  </w:style>
  <w:style w:type="paragraph" w:customStyle="1" w:styleId="PL">
    <w:name w:val="PL"/>
    <w:link w:val="PLChar"/>
    <w:rsid w:val="00655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rPr>
  </w:style>
  <w:style w:type="paragraph" w:customStyle="1" w:styleId="IvDInstructiontext">
    <w:name w:val="IvD Instructiontext"/>
    <w:basedOn w:val="BodyText"/>
    <w:link w:val="IvDInstructiontextChar"/>
    <w:uiPriority w:val="99"/>
    <w:qFormat/>
    <w:rsid w:val="00BD529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D5297"/>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BD529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BD5297"/>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38518580">
      <w:bodyDiv w:val="1"/>
      <w:marLeft w:val="0"/>
      <w:marRight w:val="0"/>
      <w:marTop w:val="0"/>
      <w:marBottom w:val="0"/>
      <w:divBdr>
        <w:top w:val="none" w:sz="0" w:space="0" w:color="auto"/>
        <w:left w:val="none" w:sz="0" w:space="0" w:color="auto"/>
        <w:bottom w:val="none" w:sz="0" w:space="0" w:color="auto"/>
        <w:right w:val="none" w:sz="0" w:space="0" w:color="auto"/>
      </w:divBdr>
    </w:div>
    <w:div w:id="208314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5NUHHDQN7SK2-1-154331</_dlc_DocId>
    <_dlc_DocIdUrl xmlns="08b2df90-05d3-4030-90d4-c9feeb4a1cd9">
      <Url>https://ericoll.internal.ericsson.com/sites/STAR/_layouts/DocIdRedir.aspx?ID=5NUHHDQN7SK2-1-154331</Url>
      <Description>5NUHHDQN7SK2-1-154331</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CBE78F89-6D31-4669-B2A1-F9893D22A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516</TotalTime>
  <Pages>3</Pages>
  <Words>752</Words>
  <Characters>6100</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29</cp:revision>
  <cp:lastPrinted>2008-01-31T16:09:00Z</cp:lastPrinted>
  <dcterms:created xsi:type="dcterms:W3CDTF">2017-04-24T08:46:00Z</dcterms:created>
  <dcterms:modified xsi:type="dcterms:W3CDTF">2017-05-05T22:02:00Z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bdb7ebf3-dc90-4024-9cfa-7f249d33d4fa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